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 w:eastAsia="Times New Roman"/>
          <w:b/>
          <w:sz w:val="24"/>
          <w:color w:val="000000"/>
        </w:rPr>
        <w:t>МИНОБРНАУКИ РОССИИ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 w:eastAsia="Times New Roman"/>
          <w:b w:val="0"/>
          <w:sz w:val="24"/>
          <w:color w:val="000000"/>
        </w:rPr>
        <w:t>Федеральное государственное бюджетное образовательное учреждение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 w:eastAsia="Times New Roman"/>
          <w:b w:val="0"/>
          <w:sz w:val="24"/>
          <w:color w:val="000000"/>
        </w:rPr>
        <w:t>высшего образования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 w:eastAsia="Times New Roman"/>
          <w:b/>
          <w:sz w:val="24"/>
          <w:color w:val="000000"/>
        </w:rPr>
        <w:t>«МИРЭА — Российский технологический университет»</w:t>
      </w:r>
    </w:p>
    <w:p>
      <w:pPr>
        <w:spacing w:before="0" w:after="160" w:line="240" w:lineRule="auto"/>
        <w:ind w:firstLine="0"/>
        <w:jc w:val="center"/>
      </w:pPr>
      <w:r>
        <w:rPr>
          <w:rFonts w:ascii="Times New Roman" w:hAnsi="Times New Roman" w:cs="Times New Roman" w:eastAsia="Times New Roman"/>
          <w:b/>
          <w:sz w:val="24"/>
          <w:color w:val="000000"/>
        </w:rPr>
        <w:t>РТУ МИРЭА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 w:eastAsia="Times New Roman"/>
          <w:b w:val="0"/>
          <w:sz w:val="26"/>
          <w:color w:val="000000"/>
        </w:rPr>
        <w:t>Институт информационных технологий (ИИТ)</w:t>
      </w:r>
    </w:p>
    <w:p>
      <w:pPr>
        <w:spacing w:before="0" w:after="560" w:line="240" w:lineRule="auto"/>
        <w:ind w:firstLine="0"/>
        <w:jc w:val="center"/>
      </w:pPr>
      <w:r>
        <w:rPr>
          <w:rFonts w:ascii="Times New Roman" w:hAnsi="Times New Roman" w:cs="Times New Roman" w:eastAsia="Times New Roman"/>
          <w:b w:val="0"/>
          <w:sz w:val="26"/>
          <w:color w:val="000000"/>
        </w:rPr>
        <w:t>Кафедра цифровой трансформации (ЦТ)</w:t>
      </w:r>
    </w:p>
    <w:p>
      <w:pPr>
        <w:spacing w:before="0" w:after="160" w:line="240" w:lineRule="auto"/>
        <w:ind w:firstLine="0"/>
        <w:jc w:val="center"/>
      </w:pPr>
      <w:r>
        <w:rPr>
          <w:rFonts w:ascii="Times New Roman" w:hAnsi="Times New Roman" w:cs="Times New Roman" w:eastAsia="Times New Roman"/>
          <w:b/>
          <w:sz w:val="36"/>
          <w:color w:val="000000"/>
        </w:rPr>
        <w:t>КУРСОВАЯ РАБОТА</w:t>
      </w:r>
    </w:p>
    <w:p>
      <w:pPr>
        <w:spacing w:before="0" w:after="360" w:line="240" w:lineRule="auto"/>
        <w:ind w:firstLine="0"/>
        <w:jc w:val="center"/>
      </w:pPr>
      <w:r>
        <w:rPr>
          <w:rFonts w:ascii="Times New Roman" w:hAnsi="Times New Roman" w:cs="Times New Roman" w:eastAsia="Times New Roman"/>
          <w:b w:val="0"/>
          <w:sz w:val="28"/>
          <w:color w:val="000000"/>
        </w:rPr>
        <w:t>по дисциплине «Архитектура приложений и данных»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 w:eastAsia="Times New Roman"/>
          <w:b w:val="0"/>
          <w:sz w:val="28"/>
          <w:color w:val="000000"/>
        </w:rPr>
        <w:t>Тема курсовой работы:</w:t>
      </w:r>
    </w:p>
    <w:p>
      <w:pPr>
        <w:spacing w:before="0" w:after="560" w:line="240" w:lineRule="auto"/>
        <w:ind w:firstLine="0"/>
        <w:jc w:val="both"/>
      </w:pPr>
      <w:r>
        <w:rPr>
          <w:rFonts w:ascii="Times New Roman" w:hAnsi="Times New Roman" w:cs="Times New Roman" w:eastAsia="Times New Roman"/>
          <w:b/>
          <w:sz w:val="28"/>
          <w:color w:val="000000"/>
        </w:rPr>
        <w:t>Исследование теоретических и прикладных аспектов разработки архитектуры приложений и данных для роли «Неавторизованный пользователь» приложения «Web-сервис «SMEZHNO»»</w:t>
      </w:r>
    </w:p>
    <w:p>
      <w:pPr>
        <w:spacing w:before="240" w:after="0" w:line="240" w:lineRule="auto"/>
        <w:ind w:firstLine="0"/>
        <w:jc w:val="left"/>
      </w:pPr>
      <w:r>
        <w:rPr>
          <w:rFonts w:ascii="Times New Roman" w:hAnsi="Times New Roman" w:cs="Times New Roman" w:eastAsia="Times New Roman"/>
          <w:b w:val="0"/>
          <w:sz w:val="28"/>
          <w:color w:val="000000"/>
        </w:rPr>
        <w:t>Студент группы ИНБО-31-23</w:t>
      </w:r>
    </w:p>
    <w:p>
      <w:pPr>
        <w:spacing w:before="0" w:after="0" w:line="240" w:lineRule="auto"/>
        <w:ind w:firstLine="0"/>
        <w:jc w:val="left"/>
      </w:pPr>
      <w:r>
        <w:rPr>
          <w:rFonts w:ascii="Times New Roman" w:hAnsi="Times New Roman" w:cs="Times New Roman" w:eastAsia="Times New Roman"/>
          <w:b w:val="0"/>
          <w:sz w:val="28"/>
          <w:color w:val="000000"/>
        </w:rPr>
        <w:t>Тарасов И. А.                        (подпись)</w:t>
      </w:r>
    </w:p>
    <w:p>
      <w:pPr>
        <w:spacing w:before="320" w:after="0" w:line="240" w:lineRule="auto"/>
        <w:ind w:firstLine="0"/>
        <w:jc w:val="left"/>
      </w:pPr>
      <w:r>
        <w:rPr>
          <w:rFonts w:ascii="Times New Roman" w:hAnsi="Times New Roman" w:cs="Times New Roman" w:eastAsia="Times New Roman"/>
          <w:b w:val="0"/>
          <w:sz w:val="28"/>
          <w:color w:val="000000"/>
        </w:rPr>
        <w:t>Руководитель курсовой работы</w:t>
      </w:r>
    </w:p>
    <w:p>
      <w:pPr>
        <w:spacing w:before="0" w:after="0" w:line="240" w:lineRule="auto"/>
        <w:ind w:firstLine="0"/>
        <w:jc w:val="left"/>
      </w:pPr>
      <w:r>
        <w:rPr>
          <w:rFonts w:ascii="Times New Roman" w:hAnsi="Times New Roman" w:cs="Times New Roman" w:eastAsia="Times New Roman"/>
          <w:b w:val="0"/>
          <w:sz w:val="28"/>
          <w:color w:val="000000"/>
        </w:rPr>
        <w:t>Черняускас В. В.                     (подпись)</w:t>
      </w:r>
    </w:p>
    <w:p>
      <w:pPr>
        <w:spacing w:before="400" w:after="0" w:line="240" w:lineRule="auto"/>
        <w:ind w:firstLine="0"/>
        <w:jc w:val="left"/>
      </w:pPr>
      <w:r>
        <w:rPr>
          <w:rFonts w:ascii="Times New Roman" w:hAnsi="Times New Roman" w:cs="Times New Roman" w:eastAsia="Times New Roman"/>
          <w:b w:val="0"/>
          <w:sz w:val="28"/>
          <w:color w:val="000000"/>
        </w:rPr>
        <w:t>Работа представлена к защите  «___» _____________ 2025 г.</w:t>
      </w:r>
    </w:p>
    <w:p>
      <w:pPr>
        <w:spacing w:before="0" w:after="0" w:line="240" w:lineRule="auto"/>
        <w:ind w:firstLine="0"/>
        <w:jc w:val="left"/>
      </w:pPr>
      <w:r>
        <w:rPr>
          <w:rFonts w:ascii="Times New Roman" w:hAnsi="Times New Roman" w:cs="Times New Roman" w:eastAsia="Times New Roman"/>
          <w:b w:val="0"/>
          <w:sz w:val="28"/>
          <w:color w:val="000000"/>
        </w:rPr>
        <w:t>Допущен к защите              «___» _____________ 2025 г.</w:t>
      </w:r>
    </w:p>
    <w:p>
      <w:pPr>
        <w:spacing w:before="800" w:after="0" w:line="240" w:lineRule="auto"/>
        <w:ind w:firstLine="0"/>
        <w:jc w:val="center"/>
      </w:pPr>
      <w:r>
        <w:rPr>
          <w:rFonts w:ascii="Times New Roman" w:hAnsi="Times New Roman" w:cs="Times New Roman" w:eastAsia="Times New Roman"/>
          <w:b w:val="0"/>
          <w:sz w:val="28"/>
          <w:color w:val="000000"/>
        </w:rPr>
        <w:t>Москва 2025 г.</w:t>
      </w:r>
    </w:p>
    <w:p>
      <w:r>
        <w:br w:type="page"/>
      </w:r>
    </w:p>
    <w:p>
      <w:pPr>
        <w:ind w:firstLine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891324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assignment_sca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9132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numPr>
          <w:ilvl w:val="0"/>
          <w:numId w:val="0"/>
        </w:numPr>
        <w:jc w:val="center"/>
      </w:pPr>
      <w:r>
        <w:rPr/>
        <w:t>СОДЕРЖАНИЕ</w:t>
      </w:r>
    </w:p>
    <w:p>
      <w:pPr>
        <w:ind w:firstLine="0"/>
        <w:jc w:val="left"/>
      </w:pPr>
      <w:r>
        <w:fldChar w:fldCharType="begin" w:dirty="true"/>
      </w:r>
      <w:r>
        <w:instrText xml:space="preserve"> TOC \o "1-3" \h \z \u </w:instrText>
      </w:r>
      <w:r>
        <w:fldChar w:fldCharType="separate"/>
      </w:r>
      <w:r>
        <w:t xml:space="preserve">Обновите содержание в Word: ПКМ по полю → Обновить поле → целиком.</w:t>
      </w:r>
      <w:r>
        <w:fldChar w:fldCharType="end"/>
      </w:r>
    </w:p>
    <w:p>
      <w:pPr>
        <w:spacing w:before="0" w:after="0"/>
      </w:pPr>
      <w:r>
        <w:rPr>
          <w:sz w:val="2"/>
        </w:rPr>
        <w:br w:type="page"/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ВВЕДЕНИЕ</w:t>
      </w:r>
    </w:p>
    <w:p>
      <w:pPr/>
      <w:r>
        <w:rPr/>
        <w:t>Актуальность темы определяется ростом числа распределённых программных систем и необходимостью согласовать учебную деятельность студентов разных групп. Поиск общего времени для встреч по</w:t>
      </w:r>
      <w:r>
        <w:noBreakHyphen/>
      </w:r>
      <w:r>
        <w:rPr/>
        <w:t>прежнему выполняется вручную: расписания сравниваются в мессенджерах, что приводит к ошибкам и потерям времени. Грамотное архитектурное проектирование web</w:t>
      </w:r>
      <w:r>
        <w:noBreakHyphen/>
      </w:r>
      <w:r>
        <w:rPr/>
        <w:t>сервиса, автоматизирующего поиск пересечений занятий, снижает трудоёмкость координации и задаёт устойчивую основу для последующего развития функций. Положительный эффект достигается уже на уровне гостевого сценария — без обязательной регистрации.</w:t>
      </w:r>
    </w:p>
    <w:p>
      <w:pPr/>
      <w:r>
        <w:rPr/>
        <w:t>Цель курсовой работы — исследовать теоретические и прикладные аспекты разработки архитектуры приложений и данных для роли «Неавторизованный пользователь» web</w:t>
      </w:r>
      <w:r>
        <w:noBreakHyphen/>
      </w:r>
      <w:r>
        <w:rPr/>
        <w:t>сервиса «SMEZHNO».</w:t>
      </w:r>
    </w:p>
    <w:p>
      <w:pPr/>
      <w:r>
        <w:rPr/>
        <w:t>Для достижения цели поставлены следующие задачи: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1.</w:t>
        <w:tab/>
      </w:r>
      <w:r>
        <w:rPr/>
        <w:t>Изложить теоретические положения микросервисной архитектуры: понятие архитектуры приложений, определение и свойства подхода, протоколы взаимодействия, преимущества, ограничения, принципы проектирования и средства реализации.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2.</w:t>
        <w:tab/>
      </w:r>
      <w:r>
        <w:rPr/>
        <w:t>Описать проект команды и разрабатываемое приложение, включая общую архитектурную модель в нотации ArchiMate.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3.</w:t>
        <w:tab/>
      </w:r>
      <w:r>
        <w:rPr/>
        <w:t>Описать роль «Неавторизованный пользователь», её взаимодействие с приложением и используемые артефакты.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4.</w:t>
        <w:tab/>
      </w:r>
      <w:r>
        <w:rPr/>
        <w:t>Построить и пояснить архитектурную модель приложения и данных для выбранной роли, включая модель данных.</w:t>
      </w:r>
    </w:p>
    <w:p>
      <w:pPr>
        <w:tabs>
          <w:tab w:pos="1276" w:val="left"/>
        </w:tabs>
        <w:spacing w:before="0"/>
        <w:ind w:left="1276" w:hanging="567"/>
      </w:pPr>
      <w:r>
        <w:rPr/>
        <w:t>5.</w:t>
        <w:tab/>
      </w:r>
      <w:r>
        <w:rPr/>
        <w:t>Рассмотреть неиспользованные, но применимые модели приложений и данных, сравнить их с принятыми решениями.</w:t>
      </w:r>
    </w:p>
    <w:p>
      <w:pPr/>
      <w:r>
        <w:rPr/>
        <w:t>В первой главе будет выполнен реферативный анализ микросервисной архитектуры. Во второй главе будет описан проект «SMEZHNO», роль гостевого пользователя, архитектура для этой роли и варианты развития. Методы исследования: анализ научно</w:t>
      </w:r>
      <w:r>
        <w:noBreakHyphen/>
      </w:r>
      <w:r>
        <w:rPr/>
        <w:t>технических источников и нормативных описаний архитектуры; моделирование в нотации ArchiMate; описание предприятия по схеме Захмана; построение модели данных; сравнительный анализ альтернатив.</w:t>
      </w:r>
    </w:p>
    <w:p>
      <w:pPr>
        <w:pStyle w:val="Heading1"/>
        <w:pageBreakBefore/>
        <w:numPr>
          <w:ilvl w:val="0"/>
          <w:numId w:val="0"/>
        </w:numPr>
      </w:pPr>
      <w:r>
        <w:rPr/>
        <w:t>1 Теоретические аспекты разработки архитектуры приложений и данных: описание микросервисной архитектуры</w:t>
      </w:r>
    </w:p>
    <w:p>
      <w:pPr>
        <w:pStyle w:val="Heading2"/>
        <w:numPr>
          <w:ilvl w:val="0"/>
          <w:numId w:val="0"/>
        </w:numPr>
      </w:pPr>
      <w:r>
        <w:rPr/>
        <w:t>1.1 Понятие архитектуры приложений</w:t>
      </w:r>
    </w:p>
    <w:p>
      <w:pPr/>
      <w:r>
        <w:rPr/>
        <w:t>Архитектура приложений задаёт фундаментальную организацию программной системы: состав элементов, связи между ними, принципы проектирования и эволюции. В международном стандарте описание архитектуры понимается как концептуальная модель, фиксирующая интересы заинтересованных сторон и представления (views), достаточные для принятия проектных решений [1]. Архитектура не сводится к набору диаграмм: она ограничивает пространство допустимых изменений и служит договором между разработкой, эксплуатацией и заказчиком.</w:t>
      </w:r>
    </w:p>
    <w:p>
      <w:pPr/>
      <w:r>
        <w:rPr/>
        <w:t>Для визуализации и согласования представлений применяется язык ArchiMate, в котором система описывается согласованными слоями бизнеса, приложений и технологий [2]. Слоёная модель позволяет отделить роли и процессы от программных компонентов и от узлов развёртывания, не смешивая уровни абстракции. В учебном курсе архитектура приложений и данных рассматривается как средство выбора методологии анализа и проектирования, а не как декоративное оформление уже написанного кода [3].</w:t>
      </w:r>
    </w:p>
    <w:p>
      <w:pPr/>
      <w:r>
        <w:rPr/>
        <w:t>На практике выделяют несколько устойчивых стилей организации приложений. Монолитная архитектура объединяет пользовательский интерфейс, прикладную логику и доступ к данным в одном развёртываемом артефакте. Такой вариант упрощает начальную разработку и транзакционную согласованность, однако по мере роста кодовой базы усложняет независимые поставки и масштабирование отдельных функций.</w:t>
      </w:r>
    </w:p>
    <w:p>
      <w:pPr/>
      <w:r>
        <w:rPr/>
        <w:t>Клиент</w:t>
      </w:r>
      <w:r>
        <w:noBreakHyphen/>
      </w:r>
      <w:r>
        <w:rPr/>
        <w:t>серверная архитектура разделяет систему на клиентскую часть, отвечающую за представление и ввод, и серверную часть, выполняющую обработку запросов и хранение данных. Клиент и сервер взаимодействуют по сети по согласованному протоколу. Двухзвенный вариант размещает прикладную логику на клиенте и обращается к серверу баз данных; трёхзвенный выносит логику на отдельный сервер приложений, оставляя клиенту отображение, а серверу данных — хранение. Многозвенная схема развивает то же разделение, вводя дополнительные уровни интеграции, кэширования и шлюзов.</w:t>
      </w:r>
    </w:p>
    <w:p>
      <w:pPr/>
      <w:r>
        <w:rPr/>
        <w:t>Микросервисный стиль представляет приложение как набор небольших самостоятельно развёртываемых сервисов, каждый из которых ограничен одной бизнес</w:t>
      </w:r>
      <w:r>
        <w:noBreakHyphen/>
      </w:r>
      <w:r>
        <w:rPr/>
        <w:t>функцией. В отличие от монолита сервисы взаимодействуют по сети, а не вызовами внутри одного процесса. Выбор стиля определяется требованиями к независимости команд, частоте поставок, согласованности данных и готовности инфраструктуры.</w:t>
      </w:r>
    </w:p>
    <w:p>
      <w:pPr/>
      <w:r>
        <w:rPr/>
        <w:t>Таким образом, архитектура приложений есть описание организации системы и ограничений на её изменение; нотации слоёного моделирования и типовые стили (монолит, клиент</w:t>
      </w:r>
      <w:r>
        <w:noBreakHyphen/>
      </w:r>
      <w:r>
        <w:rPr/>
        <w:t>сервер, микросервисы) задают язык, на котором далее анализируется микросервисный подход.</w:t>
      </w:r>
    </w:p>
    <w:p>
      <w:pPr>
        <w:pStyle w:val="Heading2"/>
        <w:numPr>
          <w:ilvl w:val="0"/>
          <w:numId w:val="0"/>
        </w:numPr>
      </w:pPr>
      <w:r>
        <w:rPr/>
        <w:t>1.2 Определение и свойства микросервисной архитектуры</w:t>
      </w:r>
    </w:p>
    <w:p>
      <w:pPr/>
      <w:r>
        <w:rPr/>
        <w:t>Микросервисная архитектура — это способ построения приложения как совокупности небольших сервисов, которые можно развёртывать независимо, организовывать вокруг бизнес</w:t>
      </w:r>
      <w:r>
        <w:noBreakHyphen/>
      </w:r>
      <w:r>
        <w:rPr/>
        <w:t>возможностей и связывать лёгкими сетевыми механизмами [4]. Определение подчёркивает не размер кода как таковой, а границы ответственности и автономность жизненного цикла.</w:t>
      </w:r>
    </w:p>
    <w:p>
      <w:pPr/>
      <w:r>
        <w:rPr/>
        <w:t>К основным свойствам относят ограниченный функциональный периметр сервиса, независимость развёртывания, децентрализованное управление данными, явность интерфейсов, технологическую неоднородность и ориентацию на бизнес</w:t>
      </w:r>
      <w:r>
        <w:noBreakHyphen/>
      </w:r>
      <w:r>
        <w:rPr/>
        <w:t>возможность, а не на технический слой. Свойства, без которых стиль не удерживается, можно зафиксировать перечнем: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ограниченный функциональный периметр и ясный владелец сервиса;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независимое развёртывание при стабильном контракте;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собственное хранилище либо явно описанная проекция данных;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взаимодействие только через опубликованный интерфейс;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встроенная наблюдаемость (журнал, метрики, трассировка). Ограниченный периметр снижает когнитивную нагрузку: изменение одной функции не требует понимания всей системы. Независимое развёртывание позволяет поставлять сервис без остановки остальных компонентов, если контракт интерфейса сохранён.</w:t>
      </w:r>
    </w:p>
    <w:p>
      <w:pPr/>
      <w:r>
        <w:rPr/>
        <w:t>Децентрализация данных означает, что у сервиса, как правило, собственное хранилище. Следствие — отказ от распределённых двухфазных транзакций в пользу итоговой согласованности, событий и компенсационных действий. Явные интерфейсы (прикладной программный интерфейс, очередь сообщений) фиксируют допустимые вызовы и форматы. Технологическая неоднородность допускает разные языки и СУБД, но увеличивает стоимость сопровождения. Ориентация на бизнес</w:t>
      </w:r>
      <w:r>
        <w:noBreakHyphen/>
      </w:r>
      <w:r>
        <w:rPr/>
        <w:t>возможность совпадает с идеей ограниченных контекстов: сервис «расписание» и сервис «поиск пересечений» моделируют разные задачи, даже если оба читают календарные данные.</w:t>
      </w:r>
    </w:p>
    <w:p>
      <w:pPr/>
      <w:r>
        <w:rPr/>
        <w:t>Наблюдаемость является не дополнением, а условием работоспособности: без централизованных журналов, метрик и трассировки отказ распределённой системы локализуется медленно. Свойства достижимы только при зрелых практиках поставки и эксплуатации; декларативное перечисление свойств без соответствующей инфраструктуры не образует микросервисной архитектуры.</w:t>
      </w:r>
    </w:p>
    <w:p>
      <w:pPr/>
      <w:r>
        <w:rPr/>
        <w:t>От сервисно</w:t>
      </w:r>
      <w:r>
        <w:noBreakHyphen/>
      </w:r>
      <w:r>
        <w:rPr/>
        <w:t>ориентированной архитектуры (SOA) микросервисы отличает прежде всего отношение к интеллекту шины и к гранулярности. Классическая SOA часто предполагала тяжёлую корпоративную шину, общие канонические модели данных и централизованное управление контрактами. Микросервисный подход переносит «ум» на концы: сервисы сами публикуют простые интерфейсы, а интеграция выполняется через шлюз, брокер или прямые вызовы [4]. Граница сервиса проводится по бизнес</w:t>
      </w:r>
      <w:r>
        <w:noBreakHyphen/>
      </w:r>
      <w:r>
        <w:rPr/>
        <w:t>возможности (ограниченный контекст), а не по техническому слою «все обращения к базе» или «все экранные формы».</w:t>
      </w:r>
    </w:p>
    <w:p>
      <w:pPr/>
      <w:r>
        <w:rPr/>
        <w:t>Вопрос «насколько мал сервис» не имеет универсального числового ответа. Практический критерий — возможность команды сопровождать и поставлять сервис независимо, не согласуя каждый релиз с владельцами соседних компонентов. Если два «сервиса» всегда изменяются и выпускаются вместе, граница проведена неверно, и выгоднее объединить их в модуль одного развёртываемого артефакта. Этот критерий далее используется при оценке архитектуры «SMEZHNO»: два совместно поставляемых Java</w:t>
      </w:r>
      <w:r>
        <w:noBreakHyphen/>
      </w:r>
      <w:r>
        <w:rPr/>
        <w:t>артефакта не образуют микросервисную систему.</w:t>
      </w:r>
    </w:p>
    <w:p>
      <w:pPr/>
      <w:r>
        <w:rPr/>
        <w:t>Следовательно, микросервисная архитектура определяется автономностью сервисов, сетевым взаимодействием и децентрализацией данных; перечисленные свойства задают требования к проектированию, которые рассматриваются в последующих параграфах.</w:t>
      </w:r>
    </w:p>
    <w:p>
      <w:pPr>
        <w:pStyle w:val="Heading2"/>
        <w:numPr>
          <w:ilvl w:val="0"/>
          <w:numId w:val="0"/>
        </w:numPr>
      </w:pPr>
      <w:r>
        <w:rPr/>
        <w:t>1.3 Стандарты Web</w:t>
      </w:r>
      <w:r>
        <w:noBreakHyphen/>
      </w:r>
      <w:r>
        <w:rPr/>
        <w:t>сервисов и протоколы взаимодействия</w:t>
      </w:r>
    </w:p>
    <w:p>
      <w:pPr/>
      <w:r>
        <w:rPr/>
        <w:t>Взаимодействие микросервисов невозможно без согласованных правил обмена сообщениями. Исторически широкое распространение получили XML</w:t>
      </w:r>
      <w:r>
        <w:noBreakHyphen/>
      </w:r>
      <w:r>
        <w:rPr/>
        <w:t>ориентированные Web</w:t>
      </w:r>
      <w:r>
        <w:noBreakHyphen/>
      </w:r>
      <w:r>
        <w:rPr/>
        <w:t>сервисы: протокол SOAP задаёт конверт сообщения, язык WSDL описывает интерфейс, реестр UDDI предназначался для обнаружения служб. Такой стек обеспечивает строгую типизацию, расширяемые заголовки безопасности и удобен в корпоративных системах с формализованными контрактами. Для новых сервисов он избыточен по сложности и объёму сообщений.</w:t>
      </w:r>
    </w:p>
    <w:p>
      <w:pPr/>
      <w:r>
        <w:rPr/>
        <w:t>Господствующим стилем для синхронных вызовов стал REST: ресурсы идентифицируются единообразными указателями, а операции выражаются методами протокола передачи гипертекста. Контракт интерфейса фиксируют спецификации OpenAPI, что позволяет генерировать документацию и клиентский код [5]. REST хорошо сочетается со шлюзом прикладных интерфейсов, кэшированием и единообразной аутентификацией.</w:t>
      </w:r>
    </w:p>
    <w:p>
      <w:pPr/>
      <w:r>
        <w:rPr/>
        <w:t>Там, где критичны задержка и компактность, применяют удалённый вызов процедур поверх двоичных протоколов. Спецификация gRPC использует HTTP/2 и сериализацию Protocol Buffers, поддерживает потоковую передачу и строгие схемы [6]. JSON</w:t>
      </w:r>
      <w:r>
        <w:noBreakHyphen/>
      </w:r>
      <w:r>
        <w:rPr/>
        <w:t>RPC сохраняет модель удалённого вызова в текстовом формате и применяется как облегчённая альтернатива REST. XML</w:t>
      </w:r>
      <w:r>
        <w:noBreakHyphen/>
      </w:r>
      <w:r>
        <w:rPr/>
        <w:t>RPC постепенно вытесняется. Асинхронное взаимодействие строится на брокерах сообщений: публикация событий развязывает сервисы по времени и повышает устойчивость к кратковременным отказам получателя.</w:t>
      </w:r>
    </w:p>
    <w:p>
      <w:pPr/>
      <w:r>
        <w:rPr/>
        <w:t>Выбор протокола не является эстетическим. Синхронный REST упрощает отладку цепочки запрос — ответ, но создаёт временную связанность. Асинхронные события снижают эту связанность ценой усложнения модели согласованности. Смешение SOAP, REST и gRPC в одной системе допустимо на границах с внешними потребителями, однако внутри домена предпочтительно ограничить набор стилей.</w:t>
      </w:r>
    </w:p>
    <w:p>
      <w:pPr/>
      <w:r>
        <w:rPr/>
        <w:t>Версионирование интерфейсов необходимо, потому что потребители развиваются несинхронно. Для REST применяют добавление полей без удаления старых, заголовки совместимости или параллельные пути вида «v1» и «v2» на ограниченный срок. Для gRPC совместимость схем задаётся правилами эволюции Protocol Buffers [6]. Идемпотентность операций записи снижает ущерб от повторов при сбоях сети: повтор того же запроса не должен порождать вторую сущность. Безопасность канала (TLS) и проверка токена на шлюзе не заменяют авторизацию внутри сервиса, если сервисы доступны друг другу во внутренней сети.</w:t>
      </w:r>
    </w:p>
    <w:p>
      <w:pPr/>
      <w:r>
        <w:rPr/>
        <w:t>Для гостевого сценария поиска пересечений расписаний достаточен синхронный прикладной интерфейс поверх HTTP: объём данных ограничен двумя расписаниями, пользователь ожидает ответ в том же сеансе, а сохранение результата на сервере не требуется. Введение брокера сообщений в этот сценарий добавило бы задержку и состояния «поиск принят, результат позже» без выигрыша для интерактивной страницы.</w:t>
      </w:r>
    </w:p>
    <w:p>
      <w:pPr/>
      <w:r>
        <w:rPr/>
        <w:t>Таким образом, для микросервисов актуальны REST и OpenAPI как основной синхронный контракт, gRPC — для внутренних высоконагруженных связей, очереди — для развязки по времени; устаревшие XML</w:t>
      </w:r>
      <w:r>
        <w:noBreakHyphen/>
      </w:r>
      <w:r>
        <w:rPr/>
        <w:t>RPC и, во многих новых системах, SOAP сохраняют нишевое применение.</w:t>
      </w:r>
    </w:p>
    <w:p>
      <w:pPr>
        <w:pStyle w:val="Heading2"/>
        <w:numPr>
          <w:ilvl w:val="0"/>
          <w:numId w:val="0"/>
        </w:numPr>
      </w:pPr>
      <w:r>
        <w:rPr/>
        <w:t>1.4 Преимущества и ограничения микросервисной архитектуры</w:t>
      </w:r>
    </w:p>
    <w:p>
      <w:pPr/>
      <w:r>
        <w:rPr/>
        <w:t>Независимость разработки и поставки позволяет командам изменять сервисы параллельно, если контракты стабильны [4]. Масштабирование выполняется точечно: увеличивается число экземпляров нагруженного сервиса, а не всей системы. Изоляция отказов ограничивает область сбоя при условии, что вызывающая сторона применяет тайм</w:t>
      </w:r>
      <w:r>
        <w:noBreakHyphen/>
      </w:r>
      <w:r>
        <w:rPr/>
        <w:t>ауты, ограничение числа повторов и предохранители. Технологическая гибкость даёт возможность подобрать СУБД и язык под задачу. Уменьшение размера модуля облегчает понимание и тестирование отдельной функции.</w:t>
      </w:r>
    </w:p>
    <w:p>
      <w:pPr/>
      <w:r>
        <w:rPr/>
        <w:t>Перечисленные достоинства проявляются при достаточной зрелости поставки. В противном случае независимость развёртывания остаётся декларативной: ручная координация релизов возвращает связанность, характерную для монолита.</w:t>
      </w:r>
    </w:p>
    <w:p>
      <w:pPr/>
      <w:r>
        <w:rPr/>
        <w:t>Ограничения симметричны достоинствам. Распределённость увеличивает число точек отказа и задержку из</w:t>
      </w:r>
      <w:r>
        <w:noBreakHyphen/>
      </w:r>
      <w:r>
        <w:rPr/>
        <w:t>за сети. Согласованность данных между хранилищами сервисов не обеспечивается локальной транзакцией; требуются саги, события и идемпотентность обработчиков. Наблюдаемость и диагностика дороже, чем в одном процессе. Инфраструктура (контейнеры, оркестрация, шлюзы, конвейеры поставки) требует квалификации и сопровождения. Чрезмерное дробление порождает «распределённый монолит»: сервисы нельзя поставлять независимо из</w:t>
      </w:r>
      <w:r>
        <w:noBreakHyphen/>
      </w:r>
      <w:r>
        <w:rPr/>
        <w:t>за частых согласованных изменений контрактов.</w:t>
      </w:r>
    </w:p>
    <w:p>
      <w:pPr/>
      <w:r>
        <w:rPr/>
        <w:t>Для учебной и относительно небольшой системы выгоды микросервисов могут не окупать операционные затраты. В таких случаях рационален модульный монолит с явными границами модулей и возможностью последующего выделения сервисов. Оценка выполняется относительно нагрузки, состава команды и требований к согласованности, а не по популярности термина.</w:t>
      </w:r>
    </w:p>
    <w:p>
      <w:pPr/>
      <w:r>
        <w:rPr/>
        <w:t>Итак, микросервисная архитектура даёт независимость поставки и точечное масштабирование ценой распределённой сложности; для малых систем ограничения часто перевешивают выгоды, что важно учитывать при выборе модели в прикладной части работы.</w:t>
      </w:r>
    </w:p>
    <w:p>
      <w:pPr>
        <w:pStyle w:val="Heading2"/>
        <w:numPr>
          <w:ilvl w:val="0"/>
          <w:numId w:val="0"/>
        </w:numPr>
      </w:pPr>
      <w:r>
        <w:rPr/>
        <w:t>1.5 Принципы проектирования микросервисной архитектуры</w:t>
      </w:r>
    </w:p>
    <w:p>
      <w:pPr/>
      <w:r>
        <w:rPr/>
        <w:t>Проектирование начинается с границ ответственности: сервис реализует одну бизнес</w:t>
      </w:r>
      <w:r>
        <w:noBreakHyphen/>
      </w:r>
      <w:r>
        <w:rPr/>
        <w:t>возможность и владеет своими данными. Принцип независимого развёртывания запрещает скрытые зависимости от внутренней схемы соседнего сервиса; обмен идёт только через опубликованный контракт. Обратная совместимость интерфейса поддерживается версионированием либо расширением без удаления полей.</w:t>
      </w:r>
    </w:p>
    <w:p>
      <w:pPr/>
      <w:r>
        <w:rPr/>
        <w:t>Практические правила, проверяемые при ревью архитектуры, формулируются следующим образом: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1.</w:t>
        <w:tab/>
      </w:r>
      <w:r>
        <w:rPr/>
        <w:t>Граница сервиса совпадает с бизнес-возможностью, а не с техническим слоем.</w:t>
      </w:r>
      <w:r/>
      <w:r>
        <w:rPr/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2.</w:t>
        <w:tab/>
      </w:r>
      <w:r>
        <w:rPr/>
        <w:t>Схема базы соседнего сервиса недоступна напрямую.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3.</w:t>
        <w:tab/>
      </w:r>
      <w:r>
        <w:rPr/>
        <w:t>Контракт изменяется совместимо либо версионируется.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4.</w:t>
        <w:tab/>
      </w:r>
      <w:r>
        <w:rPr/>
        <w:t>Тайм-аут и деградация заданы для каждого внешнего вызова.</w:t>
      </w:r>
      <w:r/>
      <w:r>
        <w:rPr/>
      </w:r>
    </w:p>
    <w:p>
      <w:pPr>
        <w:tabs>
          <w:tab w:pos="1276" w:val="left"/>
        </w:tabs>
        <w:spacing w:before="0"/>
        <w:ind w:left="1276" w:hanging="567"/>
      </w:pPr>
      <w:r>
        <w:rPr/>
        <w:t>5.</w:t>
        <w:tab/>
      </w:r>
      <w:r>
        <w:rPr/>
        <w:t>Поставка автоматизирована, идентификатор корреляции проходит через вызовы.</w:t>
      </w:r>
    </w:p>
    <w:p>
      <w:pPr/>
      <w:r>
        <w:rPr/>
        <w:t>Децентрализация данных требует явной стратегии согласованности. Синхронное чтение чужого хранилища через прямой запрос к СУБД нарушает автономность. Допустимы прикладной интерфейс соседа, реплика для чтения, событие об изменении. Устойчивость к отказам закладывается заранее: тайм</w:t>
      </w:r>
      <w:r>
        <w:noBreakHyphen/>
      </w:r>
      <w:r>
        <w:rPr/>
        <w:t>аут, повтор с ограничением, деградация функции, идемпотентность обработчика.</w:t>
      </w:r>
    </w:p>
    <w:p>
      <w:pPr/>
      <w:r>
        <w:rPr/>
        <w:t>Автоматизация сборки, проверки и развёртывания снижает стоимость частых поставок. Наблюдаемость встраивается в сервис: идентификатор корреляции проходит через вызовы, метрики экспортируются в единый контур. Технологическая свобода ограничивается общими правилами журналирования, аутентификации и публикации интерфейсов, иначе ландшафт становится необслуживаемым.</w:t>
      </w:r>
    </w:p>
    <w:p>
      <w:pPr/>
      <w:r>
        <w:rPr/>
        <w:t>Перечисленные принципы согласуются со стандартом описания архитектуры: решения фиксируются как обоснованный выбор среди альтернатив, а не как набор модных технологий [1], [4]. Нарушение хотя бы одного принципа (общая база «на всех», синхронная сеть без тайм</w:t>
      </w:r>
      <w:r>
        <w:noBreakHyphen/>
      </w:r>
      <w:r>
        <w:rPr/>
        <w:t>аутов, ручной выпуск) фактически возвращает систему к распределённому монолиту.</w:t>
      </w:r>
    </w:p>
    <w:p>
      <w:pPr/>
      <w:r>
        <w:rPr/>
        <w:t>Следовательно, проектирование микросервисов опирается на автономность данных и контрактов, устойчивость к отказам, автоматизацию поставки и наблюдаемость; принципы проверяются не декларацией, а возможностью независимо изменить и поставить сервис.</w:t>
      </w:r>
    </w:p>
    <w:p>
      <w:pPr>
        <w:pStyle w:val="Heading2"/>
        <w:pageBreakBefore/>
        <w:numPr>
          <w:ilvl w:val="0"/>
          <w:numId w:val="0"/>
        </w:numPr>
        <w:spacing w:before="0"/>
      </w:pPr>
      <w:r>
        <w:rPr/>
        <w:t>1.6 Средства реализации и примеры применения</w:t>
      </w:r>
    </w:p>
    <w:p>
      <w:pPr/>
      <w:r>
        <w:rPr/>
        <w:t>Контейнеризация фиксирует окружение выполнения сервиса и устраняет расхождение «на моей машине работает». Документация Docker описывает упаковку приложения вместе с зависимостями в воспроизводимый образ [7]. Оркестрация на платформе Kubernetes автоматизирует размещение, масштабирование и восстановление экземпляров [8]. Для небольших контуров применяют упрощённые оркестраторы; для промышленной нагрузки типичны Kubernetes и управляемые облачные службы.</w:t>
      </w:r>
    </w:p>
    <w:p>
      <w:pPr/>
      <w:r>
        <w:rPr/>
        <w:t>На границе системы размещают шлюз прикладных интерфейсов: маршрутизация, ограничение частоты, проверка токенов. Наблюдаемость обеспечивают сбор метрик, централизованные журналы и распределённая трассировка. Асинхронный обмен строится на брокерах. Реляционные СУБД, в том числе PostgreSQL, остаются основным выбором для данных с устойчивой схемой и необходимостью соединений [9]; документные и ключ</w:t>
      </w:r>
      <w:r>
        <w:noBreakHyphen/>
      </w:r>
      <w:r>
        <w:rPr/>
        <w:t>значение хранилища применяют точечно. Конвейеры непрерывной интеграции связывают проверку и доставку с репозиторием исходного кода.</w:t>
      </w:r>
    </w:p>
    <w:p>
      <w:pPr/>
      <w:r>
        <w:rPr/>
        <w:t>Примеры крупномасштабного применения включают платформы с разнородными пользовательскими сценариями, где отдельные функции развиваются разными командами. Для учебного web</w:t>
      </w:r>
      <w:r>
        <w:noBreakHyphen/>
      </w:r>
      <w:r>
        <w:rPr/>
        <w:t>сервиса поиска пересечений расписаний полный набор оркестрации и шины событий избыточен: достаточно модульного развёртывания двух артефактов на одном сервере. Микросервисная декомпозиция остаётся направлением роста, а не обязательным стартовым состоянием.</w:t>
      </w:r>
    </w:p>
    <w:p>
      <w:pPr/>
      <w:r>
        <w:rPr/>
        <w:t>Подводя итог параграфа, средства реализации подчиняются нефункциональным ограничениям проекта, а не наоборот.</w:t>
      </w:r>
    </w:p>
    <w:p>
      <w:pPr>
        <w:pStyle w:val="Heading2"/>
        <w:pageBreakBefore/>
        <w:numPr>
          <w:ilvl w:val="0"/>
          <w:numId w:val="0"/>
        </w:numPr>
        <w:spacing w:before="0"/>
      </w:pPr>
      <w:r>
        <w:rPr/>
        <w:t>1.7 Сопоставление микросервисного подхода с модульным монолитом</w:t>
      </w:r>
    </w:p>
    <w:p>
      <w:pPr/>
      <w:r>
        <w:rPr/>
        <w:t>Модульный монолит сохраняет одно развёртывание и, как правило, одну основную базу, но вводит жёсткие границы модулей: запрет прямого обращения к внутренней модели соседнего модуля, явные прикладные интерфейсы внутри процесса. По сравнению с «большим комом» это снижает связность без оплаты сетью за каждый вызов. По сравнению с микросервисами сохраняются локальные транзакции и более простая диагностика [4].</w:t>
      </w:r>
    </w:p>
    <w:p>
      <w:pPr/>
      <w:r>
        <w:rPr/>
        <w:t>Критерии перехода от модульного монолита к сервисам: независимый цикл поставки модуля; существенно иная нагрузка (поиск пересечений в начале семестра против редкой регистрации); разные требования к доступности; разные команды</w:t>
      </w:r>
      <w:r>
        <w:noBreakHyphen/>
      </w:r>
      <w:r>
        <w:rPr/>
        <w:t>владельцы. Пока критерии не выполнены, выделение сервиса добавляет протоколы, задержки и контур отказа без изменения пользовательской ценности гостевого сценария.</w:t>
      </w:r>
    </w:p>
    <w:p>
      <w:pPr/>
      <w:r>
        <w:rPr/>
        <w:t>Для web</w:t>
      </w:r>
      <w:r>
        <w:noBreakHyphen/>
      </w:r>
      <w:r>
        <w:rPr/>
        <w:t>сервиса «SMEZHNO» два артефакта на одном хосте ближе к модульному монолиту: интерфейс и прикладная логика разделены, но поставляются совместно, данные расписания общие, гостевой поиск не требует изоляции от модуля учётных записей на уровне сети. Микросервисная модель остаётся эталоном оценки автономности и вариантом развития, разобранным в пункте 2.4.</w:t>
      </w:r>
    </w:p>
    <w:p>
      <w:pPr/>
      <w:r>
        <w:rPr/>
        <w:t>Сравнение трёх стилей по критериям, значимым для учебного web</w:t>
      </w:r>
      <w:r>
        <w:noBreakHyphen/>
      </w:r>
      <w:r>
        <w:rPr/>
        <w:t xml:space="preserve">сервиса, приведено в </w:t>
      </w:r>
      <w:r>
        <w:t>Таблица 1.1</w:t>
      </w:r>
      <w:r>
        <w:rPr/>
        <w:t>.</w:t>
      </w:r>
    </w:p>
    <w:p>
      <w:pPr>
        <w:pStyle w:val="CaptionTable"/>
      </w:pPr>
      <w:r>
        <w:t xml:space="preserve">Таблица </w:t>
      </w:r>
      <w:r>
        <w:t>1.1</w:t>
      </w:r>
      <w:r>
        <w:t xml:space="preserve"> — Сравнение стилей организации приложений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1971"/>
        <w:gridCol w:w="1971"/>
        <w:gridCol w:w="1971"/>
        <w:gridCol w:w="1971"/>
        <w:gridCol w:w="1971"/>
      </w:tblGrid>
      <w:tr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Стиль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Развёртывание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Владение данными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Диагностика отказа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Цена сопровождения малой командой</w:t>
            </w:r>
          </w:p>
        </w:tc>
      </w:tr>
      <w:tr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Монолит без границ модулей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один артефакт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общая схема без ограничений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один процесс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растёт с размером кода</w:t>
            </w:r>
          </w:p>
        </w:tc>
      </w:tr>
      <w:tr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Модульный монолит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один или два совместно поставляемых артефакта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общая СУБД, границы модулей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один процесс, явные модули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умеренная</w:t>
            </w:r>
          </w:p>
        </w:tc>
      </w:tr>
    </w:tbl>
    <w:p>
      <w:pPr>
        <w:pStyle w:val="CaptionTable"/>
        <w:pageBreakBefore/>
        <w:ind w:firstLine="0"/>
      </w:pPr>
      <w:r>
        <w:rPr/>
        <w:t>Продолжение Таблицы 1.1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1971"/>
        <w:gridCol w:w="1971"/>
        <w:gridCol w:w="1971"/>
        <w:gridCol w:w="1971"/>
        <w:gridCol w:w="1971"/>
      </w:tblGrid>
      <w:tr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Микросервисы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независимые сервисы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хранилище на сервис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распределённая трассировка</w:t>
            </w:r>
          </w:p>
        </w:tc>
        <w:tc>
          <w:tcPr>
            <w:tcW w:type="dxa" w:w="1971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</w:tr>
    </w:tbl>
    <w:p>
      <w:pPr/>
      <w:r>
        <w:rPr/>
        <w:t>Вывод по главе: микросервисная архитектура описана как совокупность автономных сервисов, контрактов и инфраструктуры; её применение оправдано не термином, а выполнением принципов независимости. Этот вывод является основанием для прикладной части, где принятая схема сопоставляется с микросервисной и документной альтернативами.</w:t>
      </w:r>
    </w:p>
    <w:p>
      <w:pPr>
        <w:pStyle w:val="Heading1"/>
        <w:pageBreakBefore/>
        <w:numPr>
          <w:ilvl w:val="0"/>
          <w:numId w:val="0"/>
        </w:numPr>
      </w:pPr>
      <w:r>
        <w:rPr/>
        <w:t>2 Прикладные аспекты разработки архитектуры приложений и данных web</w:t>
      </w:r>
      <w:r>
        <w:noBreakHyphen/>
      </w:r>
      <w:r>
        <w:rPr/>
        <w:t>сервиса «SMEZHNO»</w:t>
      </w:r>
    </w:p>
    <w:p>
      <w:pPr>
        <w:pStyle w:val="Heading2"/>
        <w:numPr>
          <w:ilvl w:val="0"/>
          <w:numId w:val="0"/>
        </w:numPr>
      </w:pPr>
      <w:r>
        <w:rPr/>
        <w:t>2.1 Описание проекта команды и разрабатываемого программного приложения web</w:t>
      </w:r>
      <w:r>
        <w:noBreakHyphen/>
      </w:r>
      <w:r>
        <w:rPr/>
        <w:t>сервиса «SMEZHNO»</w:t>
      </w:r>
    </w:p>
    <w:p>
      <w:pPr/>
      <w:r>
        <w:rPr/>
        <w:t>Проект «SMEZHNO» направлен на автоматический поиск совпадающих по времени занятий («смежных пар») студентов разных учебных групп. Объект исследования — процесс согласования встреч по расписанию вуза. Информатизация процесса обоснована тем, что ручное сравнение сеток занятий не масштабируется при росте числа групп и корпусов и порождает ошибки. Выбран web</w:t>
      </w:r>
      <w:r>
        <w:noBreakHyphen/>
      </w:r>
      <w:r>
        <w:rPr/>
        <w:t>вариант: доступ через браузер без установки клиента, единая точка обновления на сервере, работа на персональных компьютерах и мобильных устройствах.</w:t>
      </w:r>
    </w:p>
    <w:p>
      <w:pPr/>
      <w:r>
        <w:rPr/>
        <w:t>Заинтересованные стороны: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студенты, которым необходимо найти общее время и место для встречи;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команда разработки, отвечающая за поставку и сопровождение;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учебное подразделение как источник расписания (косвенно, без прямой интеграции с электронной информационно-образовательной средой в текущей версии).</w:t>
      </w:r>
      <w:r/>
      <w:r>
        <w:rPr/>
      </w:r>
    </w:p>
    <w:p>
      <w:pPr/>
      <w:r>
        <w:rPr/>
        <w:t>Состав команды: владелец продукта — Кошиков С. Р.; мастер скрама — Васюткин С. О.; разработчик клиентской части — Тарасов И. А.; разработчик серверной части — Горшков Д. С.</w:t>
      </w:r>
    </w:p>
    <w:p>
      <w:pPr/>
      <w:r>
        <w:rPr/>
        <w:t>Тип приложения — web</w:t>
      </w:r>
      <w:r>
        <w:noBreakHyphen/>
      </w:r>
      <w:r>
        <w:rPr/>
        <w:t>сервис. Функциональные требования к текущей версии: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просмотр расписания выбранной учебной группы;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поиск пересечений занятий двух групп по времени и, при наличии данных, по корпусу;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повторный поиск в рамках сессии браузера без сохранения истории для гостя;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для зарегистрированного пользователя — избранные группы, переименование отображаемых имён, просмотр истории запросов.</w:t>
      </w:r>
    </w:p>
    <w:p>
      <w:pPr/>
      <w:r>
        <w:rPr/>
        <w:t>Нефункциональные требования: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доступность сервиса в дни работы хостинга (по условиям размещения сервер недоступен по воскресеньям);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отклик поиска, приемлемый для интерактивной работы в браузере;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адаптивная вёрстка клиентской части;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хранение расписания и учётных записей в реляционной СУБД.</w:t>
      </w:r>
    </w:p>
    <w:p>
      <w:pPr/>
      <w:r>
        <w:rPr/>
        <w:t>Ограничения: расписание загружается внешними средствами, без постоянного канала к системам вуза; отдельное мобильное приложение не разрабатывается. Требования согласуются с заинтересованными сторонами и служат входом к архитектурным представлениям [3], [10].</w:t>
      </w:r>
    </w:p>
    <w:p>
      <w:pPr/>
      <w:r>
        <w:rPr/>
        <w:t>Общая архитектурная модель выполнена в нотации ArchiMate и охватывает бизнес</w:t>
      </w:r>
      <w:r>
        <w:noBreakHyphen/>
      </w:r>
      <w:r>
        <w:rPr/>
        <w:t xml:space="preserve">слой, слой приложений и технологический слой [2]. Модель представлена на </w:t>
      </w:r>
      <w:r>
        <w:t>Рисунок 2.1</w:t>
      </w:r>
      <w:r>
        <w:rPr/>
        <w:t>.</w:t>
      </w:r>
    </w:p>
    <w:p>
      <w:pPr/>
      <w:r>
        <w:rPr/>
        <w:t>На бизнес</w:t>
      </w:r>
      <w:r>
        <w:noBreakHyphen/>
      </w:r>
      <w:r>
        <w:rPr/>
        <w:t>слое выделены роли незарегистрированного и зарегистрированного пользователя, процессы регистрации, входа, поиска смежных пар, ведения избранного и переименования групп. На слое приложений им соответствуют сервисы и единый компонент web</w:t>
      </w:r>
      <w:r>
        <w:noBreakHyphen/>
      </w:r>
      <w:r>
        <w:rPr/>
        <w:t>приложения «SMEZHNO». На технологическом слое размещены узел СУБД PostgreSQL, сервер приложения (Ubuntu, nginx, артефакты Smezhno.jar и SmezhnoUI.jar) и устройство пользователя с браузером, связанное с сервером через сеть WLAN [9], [11].</w:t>
      </w:r>
    </w:p>
    <w:p>
      <w:pPr>
        <w:spacing w:before="0" w:after="0" w:line="240" w:lineRule="auto"/>
        <w:ind w:firstLine="0"/>
        <w:jc w:val="center"/>
      </w:pPr>
      <w:r>
        <w:drawing>
          <wp:inline xmlns:a="http://schemas.openxmlformats.org/drawingml/2006/main" xmlns:pic="http://schemas.openxmlformats.org/drawingml/2006/picture">
            <wp:extent cx="6120130" cy="7447386"/>
            <wp:docPr id="2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arch_overall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473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Figure"/>
        <w:jc w:val="center"/>
      </w:pPr>
      <w:r>
        <w:t xml:space="preserve">Рисунок </w:t>
      </w:r>
      <w:r>
        <w:t>2.1</w:t>
      </w:r>
      <w:r>
        <w:t xml:space="preserve"> — Общая архитектурная модель web-сервиса «SMEZHNO»</w:t>
      </w:r>
    </w:p>
    <w:p>
      <w:pPr/>
      <w:r>
        <w:rPr/>
        <w:t>Принятая схема является трёхзвенной модульной: клиент в браузере, сервер приложений, сервер данных. Два Java</w:t>
      </w:r>
      <w:r>
        <w:noBreakHyphen/>
      </w:r>
      <w:r>
        <w:rPr/>
        <w:t>артефакта разделяют интерфейс и прикладную логику, но развёртываются совместно. Это не микросервисная система в смысле независимых поставок и отдельных баз на сервис, а модульный web</w:t>
      </w:r>
      <w:r>
        <w:noBreakHyphen/>
      </w:r>
      <w:r>
        <w:rPr/>
        <w:t>сервис с возможностью последующего выделения сервисов. Такое решение соответствует размеру команды и объёму функций.</w:t>
      </w:r>
    </w:p>
    <w:p>
      <w:pPr>
        <w:pStyle w:val="Heading3"/>
        <w:numPr>
          <w:ilvl w:val="0"/>
          <w:numId w:val="0"/>
        </w:numPr>
      </w:pPr>
      <w:r>
        <w:rPr/>
        <w:t>2.1.1 Архитектурная модель в нотации ArchiMate</w:t>
      </w:r>
    </w:p>
    <w:p>
      <w:pPr/>
      <w:r>
        <w:rPr/>
        <w:t>Бизнес</w:t>
      </w:r>
      <w:r>
        <w:noBreakHyphen/>
      </w:r>
      <w:r>
        <w:rPr/>
        <w:t>слой фиксирует, кто выполняет процессы и какими объектами обменивается. Незарегистрированный пользователь ограничен просмотром расписания и поиском пересечений. Зарегистрированный пользователь дополнительно работает с избранным и отображаемыми именами групп. Объекты слоя — списки пользователей и групп, расписание, избранное, пользовательские имена.</w:t>
      </w:r>
    </w:p>
    <w:p>
      <w:pPr/>
      <w:r>
        <w:rPr/>
        <w:t>Слой приложений реализует бизнес</w:t>
      </w:r>
      <w:r>
        <w:noBreakHyphen/>
      </w:r>
      <w:r>
        <w:rPr/>
        <w:t>функции сервисами регистрации, аутентификации, поиска, избранного и переименования. Компонент «Web</w:t>
      </w:r>
      <w:r>
        <w:noBreakHyphen/>
      </w:r>
      <w:r>
        <w:rPr/>
        <w:t>приложение «SMEZHNO»» инкапсулирует модули. Сервисы доступа, чтения и записи отделяют прикладную логику от узлов. Слой не содержит прямой работы с файлами операционной системы: доступ к данным идёт через сервисы.</w:t>
      </w:r>
    </w:p>
    <w:p>
      <w:pPr/>
      <w:r>
        <w:rPr/>
        <w:t>Технологический слой задаёт узлы и системное программное обеспечение. PostgreSQL хранит артефакты списков и расписания. Сервер приложения объединяет nginx как обратный прокси и Java</w:t>
      </w:r>
      <w:r>
        <w:noBreakHyphen/>
      </w:r>
      <w:r>
        <w:rPr/>
        <w:t>артефакты. Клиентский узел — браузер. Совмещение СУБД и прикладных артефактов на схематическом узле сервера отражает фактическое размещение на одном хосте, а не требование стандарта ArchiMate держать базу на том же компьютере; при росте нагрузки узел данных выносится отдельно без смены бизнес</w:t>
      </w:r>
      <w:r>
        <w:noBreakHyphen/>
      </w:r>
      <w:r>
        <w:rPr/>
        <w:t>модели.</w:t>
      </w:r>
    </w:p>
    <w:p>
      <w:pPr/>
      <w:r>
        <w:rPr/>
        <w:t>Итог подраздела: общая модель согласована по трём слоям, показывает обе роли и принятый стек развёртывания и служит исходной схемой, которую пункт 2.3 уточняет для гостевой роли.</w:t>
      </w:r>
    </w:p>
    <w:p>
      <w:pPr>
        <w:pStyle w:val="Heading3"/>
        <w:pageBreakBefore/>
        <w:numPr>
          <w:ilvl w:val="0"/>
          <w:numId w:val="0"/>
        </w:numPr>
        <w:spacing w:before="0"/>
      </w:pPr>
      <w:r>
        <w:rPr/>
        <w:t>2.1.2 Модель Захмана</w:t>
      </w:r>
    </w:p>
    <w:p>
      <w:pPr/>
      <w:r>
        <w:rPr/>
        <w:t xml:space="preserve">Модель Захмана задаёт таблицу согласования представлений об архитектуре: столбцы отвечают на вопросы «что», «как», «где», «кто», «когда», «почему»; строки соответствуют перспективам от контекста заказчика до функционирующего приложения [12]. Строки не являются «столбцами абстракции», а столбцы не являются «уровнями»: пересечение ячейки связывает аспект и перспективу. Заполненная для «SMEZHNO» матрица приведена на </w:t>
      </w:r>
      <w:r>
        <w:t>Рисунок 2.2</w:t>
      </w:r>
      <w:r>
        <w:rPr/>
        <w:t>.</w:t>
      </w:r>
    </w:p>
    <w:p>
      <w:pPr>
        <w:spacing w:before="0" w:after="0" w:line="240" w:lineRule="auto"/>
        <w:ind w:firstLine="0"/>
        <w:jc w:val="center"/>
      </w:pPr>
      <w:r>
        <w:drawing>
          <wp:inline xmlns:a="http://schemas.openxmlformats.org/drawingml/2006/main" xmlns:pic="http://schemas.openxmlformats.org/drawingml/2006/picture">
            <wp:extent cx="6120130" cy="3437791"/>
            <wp:docPr id="3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zachma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77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Figure"/>
        <w:jc w:val="center"/>
      </w:pPr>
      <w:r>
        <w:t xml:space="preserve">Рисунок </w:t>
      </w:r>
      <w:r>
        <w:t>2.2</w:t>
      </w:r>
      <w:r>
        <w:t xml:space="preserve"> — Модель Захмана для web-сервиса «SMEZHNO»</w:t>
      </w:r>
    </w:p>
    <w:p>
      <w:pPr/>
      <w:r>
        <w:rPr/>
        <w:t>Для контекста «что» — расписание и список групп; «как» — получение смежных пар выбором групп; «зачем» — упрощение планирования встреч. На перспективе логической модели «кто» разделяет гостя (только поиск) и зарегистрированного пользователя (избранное и имена). На физической перспективе «как» — поиск пересечений по расписанию запросами к СУБД. Ячейки нижних строк фиксируют JSON/XML</w:t>
      </w:r>
      <w:r>
        <w:noBreakHyphen/>
      </w:r>
      <w:r>
        <w:rPr/>
        <w:t>представления, HTTP, размещение на арендуемом сервере и средства контроля (журналы, метрики).</w:t>
      </w:r>
    </w:p>
    <w:p>
      <w:pPr/>
      <w:r>
        <w:rPr/>
        <w:t>Модель Захмана не заменяет ArchiMate, а проверяет полноту: пустая ячейка указывает на нерассмотренный интерес. В проекте заполнены все шесть аспектов на ключевых перспективах, что согласуется с описанием заинтересованных сторон.</w:t>
      </w:r>
    </w:p>
    <w:p>
      <w:pPr>
        <w:pStyle w:val="Heading2"/>
        <w:numPr>
          <w:ilvl w:val="0"/>
          <w:numId w:val="0"/>
        </w:numPr>
      </w:pPr>
      <w:r>
        <w:rPr/>
        <w:t>2.2 Описание роли «Неавторизованный пользователь» web</w:t>
      </w:r>
      <w:r>
        <w:noBreakHyphen/>
      </w:r>
      <w:r>
        <w:rPr/>
        <w:t>сервиса «SMEZHNO»</w:t>
      </w:r>
    </w:p>
    <w:p>
      <w:pPr/>
      <w:r>
        <w:rPr/>
        <w:t>Неавторизованный (незарегистрированный) пользователь — роль, взаимодействующая с сервисом без учётной записи и без долговременной сессии на сервере. Роль охватывает первичный сценарий: студент открывает сайт, выбирает группы и получает пересечения пар. Регистрация, вход в личный кабинет, избранное и история запросов к роли не относятся и на модели роли не изображаются.</w:t>
      </w:r>
    </w:p>
    <w:p>
      <w:pPr/>
      <w:r>
        <w:rPr/>
        <w:t>Взаимодействие с приложением ограничено тремя процессами: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просмотр расписания выбранной группы (артефакты: список групп, расписание занятий);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поиск смежных пар для двух указанных групп (артефакты: два идентификатора групп, множество занятий, таблица пересечений);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повторный запрос с другими параметрами в пределах сессии браузера (история на сервере не сохраняется).</w:t>
      </w:r>
    </w:p>
    <w:p>
      <w:pPr/>
      <w:r>
        <w:rPr/>
        <w:t>Сервисы, предоставляемые роли: отображение расписания; расчёт пересечений по времени; выдача результата в табличном виде. Взаимодействие с другими ролями косвенное: тот же сервис используется зарегистрированным пользователем, однако гость не обращается к сервисам учётных записей и избранного.</w:t>
      </w:r>
    </w:p>
    <w:p>
      <w:pPr/>
      <w:r>
        <w:rPr/>
        <w:t>Ограничения роли: нельзя сохранить набор групп, переименовать отображаемые названия, получить статистику прошлых поисков. Назначение роли — снизить порог входа и дать проверяемый результат без передачи персональных данных. Переход к регистрации является отдельным процессом другой роли и в архитектуре гостя не детализируется.</w:t>
      </w:r>
    </w:p>
    <w:p>
      <w:pPr>
        <w:pStyle w:val="Heading2"/>
        <w:numPr>
          <w:ilvl w:val="0"/>
          <w:numId w:val="0"/>
        </w:numPr>
      </w:pPr>
      <w:r>
        <w:rPr/>
        <w:t>2.3 Описание архитектуры программного приложения и данных web</w:t>
      </w:r>
      <w:r>
        <w:noBreakHyphen/>
      </w:r>
      <w:r>
        <w:rPr/>
        <w:t>сервиса «SMEZHNO» для роли «Неавторизованный пользователь»</w:t>
      </w:r>
    </w:p>
    <w:p>
      <w:pPr/>
      <w:r>
        <w:rPr/>
        <w:t xml:space="preserve">Архитектура для выбранной роли уточняет общую модель: из представления исключены регистрация, аутентификация, избранное и пользовательские имена. Уточнённая модель в нотации ArchiMate приведена на </w:t>
      </w:r>
      <w:r>
        <w:t>Рисунок 2.3</w:t>
      </w:r>
      <w:r>
        <w:rPr/>
        <w:t>.</w:t>
      </w:r>
    </w:p>
    <w:p>
      <w:pPr>
        <w:spacing w:before="0" w:after="0" w:line="240" w:lineRule="auto"/>
        <w:ind w:firstLine="0"/>
        <w:jc w:val="center"/>
      </w:pPr>
      <w:r>
        <w:drawing>
          <wp:inline xmlns:a="http://schemas.openxmlformats.org/drawingml/2006/main" xmlns:pic="http://schemas.openxmlformats.org/drawingml/2006/picture">
            <wp:extent cx="6120130" cy="4220515"/>
            <wp:docPr id="4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arch_guest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Figure"/>
        <w:jc w:val="center"/>
      </w:pPr>
      <w:r>
        <w:t xml:space="preserve">Рисунок </w:t>
      </w:r>
      <w:r>
        <w:t>2.3</w:t>
      </w:r>
      <w:r>
        <w:t xml:space="preserve"> — Архитектурная модель роли «Неавторизованный пользователь»</w:t>
      </w:r>
    </w:p>
    <w:p>
      <w:pPr>
        <w:pStyle w:val="Heading3"/>
        <w:pageBreakBefore/>
        <w:numPr>
          <w:ilvl w:val="0"/>
          <w:numId w:val="0"/>
        </w:numPr>
        <w:spacing w:before="0"/>
      </w:pPr>
      <w:r>
        <w:rPr/>
        <w:t>2.3.1 Бизнес</w:t>
      </w:r>
      <w:r>
        <w:noBreakHyphen/>
      </w:r>
      <w:r>
        <w:rPr/>
        <w:t>слой</w:t>
      </w:r>
    </w:p>
    <w:p>
      <w:pPr/>
      <w:r>
        <w:rPr/>
        <w:t>На бизнес</w:t>
      </w:r>
      <w:r>
        <w:noBreakHyphen/>
      </w:r>
      <w:r>
        <w:rPr/>
        <w:t>слое присутствует единственная роль — неавторизованный пользователь. Бизнес</w:t>
      </w:r>
      <w:r>
        <w:noBreakHyphen/>
      </w:r>
      <w:r>
        <w:rPr/>
        <w:t>функции: просмотр расписания группы; поиск смежных пар; повторный поиск в сессии. Бизнес</w:t>
      </w:r>
      <w:r>
        <w:noBreakHyphen/>
      </w:r>
      <w:r>
        <w:rPr/>
        <w:t>объекты: список групп, расписание занятий, результат поиска. Процессы входа, подтверждения почты и ведения профиля отсутствуют. Такое сужение соответствует описанию роли в пункте 2.2 и устраняет противоречие, при котором гостевая модель содержала пароль и личный кабинет.</w:t>
      </w:r>
    </w:p>
    <w:p>
      <w:pPr>
        <w:pStyle w:val="Heading3"/>
        <w:numPr>
          <w:ilvl w:val="0"/>
          <w:numId w:val="0"/>
        </w:numPr>
      </w:pPr>
      <w:r>
        <w:rPr/>
        <w:t>2.3.2 Слой приложений</w:t>
      </w:r>
    </w:p>
    <w:p>
      <w:pPr/>
      <w:r>
        <w:rPr/>
        <w:t>Слой приложений включает сервис расписания, сервис поиска пересечений и сервис доступа к приложению. Компонент web</w:t>
      </w:r>
      <w:r>
        <w:noBreakHyphen/>
      </w:r>
      <w:r>
        <w:rPr/>
        <w:t>приложения для данного представления содержит модули расписания и поиска; модуль учётных записей на диаграмме роли не показывается, хотя физически может входить в тот же артефакт Smezhno.jar. События слоя — запрос расписания и запрос пересечения. Объекты данных — идентификаторы групп, записи занятий, набор пересечений. Связь с бизнес</w:t>
      </w:r>
      <w:r>
        <w:noBreakHyphen/>
      </w:r>
      <w:r>
        <w:rPr/>
        <w:t>слоем — реализация функций сервисами, а не копирование учётных атрибутов в гостевой сценарий.</w:t>
      </w:r>
    </w:p>
    <w:p>
      <w:pPr>
        <w:pStyle w:val="Heading3"/>
        <w:numPr>
          <w:ilvl w:val="0"/>
          <w:numId w:val="0"/>
        </w:numPr>
      </w:pPr>
      <w:r>
        <w:rPr/>
        <w:t>2.3.3 Технологический слой</w:t>
      </w:r>
    </w:p>
    <w:p>
      <w:pPr/>
      <w:r>
        <w:rPr/>
        <w:t>Инфраструктура совпадает с общей моделью: PostgreSQL, сервер Ubuntu с nginx и Java</w:t>
      </w:r>
      <w:r>
        <w:noBreakHyphen/>
      </w:r>
      <w:r>
        <w:rPr/>
        <w:t>артефактами, браузер пользователя, сеть WLAN [11]. Для гостевой роли значимы артефакты «список групп» и «расписание групп». Артефакты «список пользователей» и «избранное» гостевым процессом не читаются и не записываются. Резервное копирование и обработка запросов остаются функциями узлов, но не порождают новых бизнес</w:t>
      </w:r>
      <w:r>
        <w:noBreakHyphen/>
      </w:r>
      <w:r>
        <w:rPr/>
        <w:t>процессов роли.</w:t>
      </w:r>
    </w:p>
    <w:p>
      <w:pPr>
        <w:pStyle w:val="Heading3"/>
        <w:numPr>
          <w:ilvl w:val="0"/>
          <w:numId w:val="0"/>
        </w:numPr>
      </w:pPr>
      <w:r>
        <w:rPr/>
        <w:t>2.3.4 Модель данных</w:t>
      </w:r>
    </w:p>
    <w:p>
      <w:pPr/>
      <w:r>
        <w:rPr/>
        <w:t xml:space="preserve">Данные, используемые ролью, описываются реляционной моделью. Сущность AcademicGroup представляет учебную группу; сущность Lesson — занятие группы с временем, предметом и аудиторией. Связь «группа содержит занятия» имеет вид «один ко многим». Результат поиска смежных пар не сохраняется для гостя: он вычисляется запросом как пересечение интервалов времени занятий двух групп и при необходимости фильтра по корпусу. Модель представлена на </w:t>
      </w:r>
      <w:r>
        <w:t>Рисунок 2.4</w:t>
      </w:r>
      <w:r>
        <w:rPr/>
        <w:t>.</w:t>
      </w:r>
    </w:p>
    <w:p>
      <w:pPr>
        <w:spacing w:before="0" w:after="0" w:line="240" w:lineRule="auto"/>
        <w:ind w:firstLine="0"/>
        <w:jc w:val="center"/>
      </w:pPr>
      <w:r>
        <w:drawing>
          <wp:inline xmlns:a="http://schemas.openxmlformats.org/drawingml/2006/main" xmlns:pic="http://schemas.openxmlformats.org/drawingml/2006/picture">
            <wp:extent cx="6120130" cy="3763435"/>
            <wp:docPr id="5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" name="er_guest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634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Figure"/>
        <w:jc w:val="center"/>
      </w:pPr>
      <w:r>
        <w:t xml:space="preserve">Рисунок </w:t>
      </w:r>
      <w:r>
        <w:t>2.4</w:t>
      </w:r>
      <w:r>
        <w:t xml:space="preserve"> — Модель данных для роли «Неавторизованный пользователь»</w:t>
      </w:r>
    </w:p>
    <w:p>
      <w:pPr/>
      <w:r>
        <w:rPr/>
        <w:t>Хранение «пользователя</w:t>
      </w:r>
      <w:r>
        <w:noBreakHyphen/>
      </w:r>
      <w:r>
        <w:rPr/>
        <w:t>гостя» как сущности с внешним ключом на одно занятие отвергнуто: гость не является объектом учёта, а одно занятие не моделирует расписание группы. Вычисляемый результат AdjacentPairResult на схеме показан пунктиром, чтобы не выдавать его за таблицу постоянных данных. Пояснение к модели: целостность расписания обеспечивается ключами и внешним ключом на группу; прикладной алгоритм поиска сравнивает пары занятий с совпадающим днём недели и пересекающимися интервалами [time_start, time_end].</w:t>
      </w:r>
    </w:p>
    <w:p>
      <w:pPr>
        <w:pStyle w:val="Heading2"/>
        <w:numPr>
          <w:ilvl w:val="0"/>
          <w:numId w:val="0"/>
        </w:numPr>
      </w:pPr>
      <w:r>
        <w:rPr/>
        <w:t>2.4 Варианты развития архитектуры программного приложения web</w:t>
      </w:r>
      <w:r>
        <w:noBreakHyphen/>
      </w:r>
      <w:r>
        <w:rPr/>
        <w:t>сервиса «SMEZHNO»</w:t>
      </w:r>
    </w:p>
    <w:p>
      <w:pPr/>
      <w:r>
        <w:rPr/>
        <w:t>В проекте сознательно не использованы модели, допустимые для той же предметной области. Ниже рассмотрены две альтернативы — на уровне приложений и на уровне данных — с указанием преимуществ и недостатков относительно принятой трёхзвенной модульной схемы.</w:t>
      </w:r>
    </w:p>
    <w:p>
      <w:pPr/>
      <w:r>
        <w:rPr/>
        <w:t xml:space="preserve">Первая альтернатива — декомпозиция на микросервисы: отдельные сервисы расписания, поиска пересечений и учётных записей со своими хранилищами, шлюзом и шиной событий. Схема альтернативы, не являющаяся описанием текущего развёртывания, приведена на </w:t>
      </w:r>
      <w:r>
        <w:t>Рисунок 2.5</w:t>
      </w:r>
      <w:r>
        <w:rPr/>
        <w:t>.</w:t>
      </w:r>
    </w:p>
    <w:p>
      <w:pPr/>
      <w:r>
        <w:rPr/>
        <w:t>Преимущества относительно выбранной модели: независимая поставка модуля поиска; точечное масштабирование расчёта пересечений в период сессии; изоляция отказа сервиса учётных записей от гостевого поиска. Недостатки: необходимость согласования контрактов, итоговой согласованности копий расписания, контура наблюдаемости и оркестрации [4], [8]. Для команды из четырёх человек и одного хостинга без воскресной доступности операционные затраты не окупаются. Альтернатива уместна при росте нагрузки и разделении команд по сервисам.</w:t>
      </w:r>
    </w:p>
    <w:p>
      <w:pPr/>
      <w:r>
        <w:rPr/>
        <w:t xml:space="preserve">Вторая альтернатива — документная модель данных, в которой занятия вложены в документ группы, а результаты поиска при необходимости кэшируются отдельной коллекцией. Модель показана на </w:t>
      </w:r>
      <w:r>
        <w:t>Рисунок 2.6</w:t>
      </w:r>
      <w:r>
        <w:rPr/>
        <w:t>.</w:t>
      </w:r>
    </w:p>
    <w:p>
      <w:pPr>
        <w:spacing w:before="0" w:after="0" w:line="240" w:lineRule="auto"/>
        <w:ind w:firstLine="0"/>
        <w:jc w:val="center"/>
      </w:pPr>
      <w:r>
        <w:drawing>
          <wp:inline xmlns:a="http://schemas.openxmlformats.org/drawingml/2006/main" xmlns:pic="http://schemas.openxmlformats.org/drawingml/2006/picture">
            <wp:extent cx="6120130" cy="3738347"/>
            <wp:docPr id="6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alt_ms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383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Figure"/>
        <w:jc w:val="center"/>
      </w:pPr>
      <w:r>
        <w:t xml:space="preserve">Рисунок </w:t>
      </w:r>
      <w:r>
        <w:t>2.5</w:t>
      </w:r>
      <w:r>
        <w:t xml:space="preserve"> — Альтернативная декомпозиция на микросервисы</w:t>
      </w:r>
    </w:p>
    <w:p>
      <w:pPr>
        <w:spacing w:before="0" w:after="0" w:line="240" w:lineRule="auto"/>
        <w:ind w:firstLine="0"/>
        <w:jc w:val="center"/>
      </w:pPr>
      <w:r>
        <w:drawing>
          <wp:inline xmlns:a="http://schemas.openxmlformats.org/drawingml/2006/main" xmlns:pic="http://schemas.openxmlformats.org/drawingml/2006/picture">
            <wp:extent cx="6120130" cy="3492510"/>
            <wp:docPr id="7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alt_doc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925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Figure"/>
        <w:jc w:val="center"/>
      </w:pPr>
      <w:r>
        <w:t xml:space="preserve">Рисунок </w:t>
      </w:r>
      <w:r>
        <w:t>2.6</w:t>
      </w:r>
      <w:r>
        <w:t xml:space="preserve"> — Альтернативная документная модель расписания</w:t>
      </w:r>
    </w:p>
    <w:p>
      <w:pPr/>
      <w:r>
        <w:rPr/>
        <w:t>Преимущества: чтение расписания одной группы одним документом без соединения таблиц; гибкость схемы при нерегулярных полях занятия. Недостатки относительно выбранной реляционной модели: сложнее обеспечить ссылочную целостность при изменении одного занятия, затрагивающего пересечения; аналитические запросы по корпусам и интервалам менее прозрачны, чем соединения в PostgreSQL [9]. Для нормализованного учебного расписания реляционная схема остаётся предпочтительной.</w:t>
      </w:r>
    </w:p>
    <w:p>
      <w:pPr/>
      <w:r>
        <w:rPr/>
        <w:t>Иные расширения (чат согласования встреч, прямая интеграция с электронной информационно</w:t>
      </w:r>
      <w:r>
        <w:noBreakHyphen/>
      </w:r>
      <w:r>
        <w:rPr/>
        <w:t>образовательной средой) относятся к новым функциям, а не к замене архитектурного стиля, и в рамках пункта не подменяют сравнение моделей. Вывод: принятые модели приложений и данных проще в сопровождении при текущих ограничениях; микросервисы и документное хранилище сохраняются как направления развития при изменении нагрузки и состава команды.</w:t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ЗАКЛЮЧЕНИЕ</w:t>
      </w:r>
    </w:p>
    <w:p>
      <w:pPr/>
      <w:r>
        <w:rPr/>
        <w:t>В ходе работы выполнены поставленные задачи. Изложены теоретические положения микросервисной архитектуры: понятие архитектуры приложений, определение и свойства подхода, протоколы взаимодействия, преимущества, ограничения, принципы проектирования и средства реализации. Описан проект web</w:t>
      </w:r>
      <w:r>
        <w:noBreakHyphen/>
      </w:r>
      <w:r>
        <w:rPr/>
        <w:t>сервиса «SMEZHNO», заинтересованные стороны, требования и общая модель в нотации ArchiMate. Для роли «Неавторизованный пользователь» зафиксированы процессы, сервисы и ограничения без смешения с контуром регистрации. Построена уточнённая трёхслойная модель и реляционная модель данных, в которой гость не является хранимой сущностью, а пересечение пар вычисляется запросом. Рассмотрены неиспользованные альтернативы — микросервисная декомпозиция и документная схема расписания — с сопоставлением выгод и издержек.</w:t>
      </w:r>
    </w:p>
    <w:p>
      <w:pPr/>
      <w:r>
        <w:rPr/>
        <w:t>Целесообразность принятых архитектурных моделей подтверждается соответствием размеру команды, объёму гостевого сценария и условиям размещения. Микросервисный подход, разобранный в теоретической главе, служит критерием оценки и резервом развития, а не обязательным каркасом текущей поставки.</w:t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СПИСОК ИСПОЛЬЗОВАННЫХ ИСТОЧНИКОВ</w:t>
      </w:r>
    </w:p>
    <w:p>
      <w:pPr>
        <w:pStyle w:val="Bibliography"/>
      </w:pPr>
      <w:r>
        <w:t>1. ISO/IEC/IEEE 42010:2022. Software, systems and enterprise — Architecture description. — Geneva: ISO, 2022. — 62 p.</w:t>
      </w:r>
    </w:p>
    <w:p>
      <w:pPr>
        <w:pStyle w:val="Bibliography"/>
      </w:pPr>
      <w:r>
        <w:t>2. The Open Group. ArchiMate 3.2 Specification. — The Open Group, 2023.</w:t>
      </w:r>
    </w:p>
    <w:p>
      <w:pPr>
        <w:pStyle w:val="Bibliography"/>
      </w:pPr>
      <w:r>
        <w:t>3. Аншина М. Л. Архитектура приложений и данных: материалы лекционного курса. — М.: РТУ МИРЭА, 2024.</w:t>
      </w:r>
    </w:p>
    <w:p>
      <w:pPr>
        <w:pStyle w:val="Bibliography"/>
      </w:pPr>
      <w:r>
        <w:t>4. Ньюмен С. Создание микросервисов. — 2-е изд. — СПб.: Питер, 2023. — 624 с.</w:t>
      </w:r>
    </w:p>
    <w:p>
      <w:pPr>
        <w:pStyle w:val="Bibliography"/>
      </w:pPr>
      <w:r>
        <w:t>5. OpenAPI Initiative. OpenAPI Specification Version 3.1.0. URL: https://spec.openapis.org/oas/v3.1.0 (дата обращения: 20.05.2025).</w:t>
      </w:r>
    </w:p>
    <w:p>
      <w:pPr>
        <w:pStyle w:val="Bibliography"/>
      </w:pPr>
      <w:r>
        <w:t>6. gRPC Documentation. URL: https://grpc.io/docs/ (дата обращения: 20.05.2025).</w:t>
      </w:r>
    </w:p>
    <w:p>
      <w:pPr>
        <w:pStyle w:val="Bibliography"/>
      </w:pPr>
      <w:r>
        <w:t>7. Docker Documentation. URL: https://docs.docker.com/ (дата обращения: 20.05.2025).</w:t>
      </w:r>
    </w:p>
    <w:p>
      <w:pPr>
        <w:pStyle w:val="Bibliography"/>
      </w:pPr>
      <w:r>
        <w:t>8. Kubernetes Documentation. URL: https://kubernetes.io/docs/home/ (дата обращения: 20.05.2025).</w:t>
      </w:r>
    </w:p>
    <w:p>
      <w:pPr>
        <w:pStyle w:val="Bibliography"/>
      </w:pPr>
      <w:r>
        <w:t>9. PostgreSQL Global Development Group. PostgreSQL 16 Documentation. URL: https://www.postgresql.org/docs/16/ (дата обращения: 20.05.2025).</w:t>
      </w:r>
    </w:p>
    <w:p>
      <w:pPr>
        <w:pStyle w:val="Bibliography"/>
      </w:pPr>
      <w:r>
        <w:t>10. The Open Group. The TOGAF Standard, 10th Edition. — The Open Group, 2022.</w:t>
      </w:r>
    </w:p>
    <w:p>
      <w:pPr>
        <w:pStyle w:val="Bibliography"/>
      </w:pPr>
      <w:r>
        <w:t>11. F5 NGINX. NGINX Documentation. URL: https://nginx.org/en/docs/ (дата обращения: 20.05.2025).</w:t>
      </w:r>
    </w:p>
    <w:p>
      <w:pPr>
        <w:pStyle w:val="Bibliography"/>
      </w:pPr>
      <w:r>
        <w:t>12. Zachman International. The Zachman Framework. URL: https://www.zachman.com/about-the-zachman-framework (дата обращения: 20.05.2025).</w:t>
      </w:r>
    </w:p>
    <w:sectPr w:rsidR="00E87256" w:rsidRPr="00E87256" w:rsidSect="00E87256">
      <w:pgSz w:w="11906" w:h="16838" w:code="9"/>
      <w:pgMar w:top="1134" w:right="567" w:bottom="1134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633C" w14:textId="77777777" w:rsidR="00D742C4" w:rsidRDefault="00D742C4" w:rsidP="000F2B81">
      <w:pPr>
        <w:spacing w:after="0" w:line="240" w:lineRule="auto"/>
      </w:pPr>
      <w:r>
        <w:separator/>
      </w:r>
    </w:p>
  </w:endnote>
  <w:endnote w:type="continuationSeparator" w:id="0">
    <w:p w14:paraId="7791258D" w14:textId="77777777" w:rsidR="00D742C4" w:rsidRDefault="00D742C4" w:rsidP="000F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591A" w14:textId="77777777" w:rsidR="00D742C4" w:rsidRDefault="00D742C4" w:rsidP="000F2B81">
      <w:pPr>
        <w:spacing w:after="0" w:line="240" w:lineRule="auto"/>
      </w:pPr>
      <w:r>
        <w:separator/>
      </w:r>
    </w:p>
  </w:footnote>
  <w:footnote w:type="continuationSeparator" w:id="0">
    <w:p w14:paraId="06BA071E" w14:textId="77777777" w:rsidR="00D742C4" w:rsidRDefault="00D742C4" w:rsidP="000F2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B1271"/>
    <w:multiLevelType w:val="multilevel"/>
    <w:tmpl w:val="041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CC75150"/>
    <w:multiLevelType w:val="hybridMultilevel"/>
    <w:tmpl w:val="5DA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EA633C2"/>
    <w:multiLevelType w:val="hybridMultilevel"/>
    <w:tmpl w:val="AC908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A117DC3"/>
    <w:multiLevelType w:val="hybridMultilevel"/>
    <w:tmpl w:val="09E27268"/>
    <w:lvl w:ilvl="0" w:tplc="2F8A26C8">
      <w:start w:val="1"/>
      <w:numFmt w:val="decimal"/>
      <w:pStyle w:val="TableCaption"/>
      <w:lvlText w:val="Таблица %1 —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B637D"/>
    <w:multiLevelType w:val="hybridMultilevel"/>
    <w:tmpl w:val="1F5A2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81B57"/>
    <w:multiLevelType w:val="hybridMultilevel"/>
    <w:tmpl w:val="2430A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6008052">
    <w:abstractNumId w:val="8"/>
  </w:num>
  <w:num w:numId="2" w16cid:durableId="416367440">
    <w:abstractNumId w:val="6"/>
  </w:num>
  <w:num w:numId="3" w16cid:durableId="1743596110">
    <w:abstractNumId w:val="5"/>
  </w:num>
  <w:num w:numId="4" w16cid:durableId="839582590">
    <w:abstractNumId w:val="4"/>
  </w:num>
  <w:num w:numId="5" w16cid:durableId="1856307636">
    <w:abstractNumId w:val="7"/>
  </w:num>
  <w:num w:numId="6" w16cid:durableId="84234291">
    <w:abstractNumId w:val="3"/>
  </w:num>
  <w:num w:numId="7" w16cid:durableId="888152003">
    <w:abstractNumId w:val="2"/>
  </w:num>
  <w:num w:numId="8" w16cid:durableId="936864237">
    <w:abstractNumId w:val="1"/>
  </w:num>
  <w:num w:numId="9" w16cid:durableId="1746610803">
    <w:abstractNumId w:val="0"/>
  </w:num>
  <w:num w:numId="10" w16cid:durableId="135495511">
    <w:abstractNumId w:val="9"/>
  </w:num>
  <w:num w:numId="11" w16cid:durableId="34619906">
    <w:abstractNumId w:val="10"/>
  </w:num>
  <w:num w:numId="12" w16cid:durableId="2010711202">
    <w:abstractNumId w:val="13"/>
  </w:num>
  <w:num w:numId="13" w16cid:durableId="1860191537">
    <w:abstractNumId w:val="12"/>
  </w:num>
  <w:num w:numId="14" w16cid:durableId="370804285">
    <w:abstractNumId w:val="14"/>
  </w:num>
  <w:num w:numId="15" w16cid:durableId="1797022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901"/>
    <w:rsid w:val="00034616"/>
    <w:rsid w:val="00045CE8"/>
    <w:rsid w:val="0006063C"/>
    <w:rsid w:val="000F2B81"/>
    <w:rsid w:val="0015074B"/>
    <w:rsid w:val="001859E3"/>
    <w:rsid w:val="001A2111"/>
    <w:rsid w:val="001C3DFD"/>
    <w:rsid w:val="00296008"/>
    <w:rsid w:val="0029639D"/>
    <w:rsid w:val="002A2700"/>
    <w:rsid w:val="00326F90"/>
    <w:rsid w:val="003427F6"/>
    <w:rsid w:val="00356749"/>
    <w:rsid w:val="00443E9E"/>
    <w:rsid w:val="00484BEB"/>
    <w:rsid w:val="004B42AB"/>
    <w:rsid w:val="006100AC"/>
    <w:rsid w:val="00744611"/>
    <w:rsid w:val="007B6A03"/>
    <w:rsid w:val="007E3D2F"/>
    <w:rsid w:val="00865A9D"/>
    <w:rsid w:val="008832B6"/>
    <w:rsid w:val="00973705"/>
    <w:rsid w:val="00A2327D"/>
    <w:rsid w:val="00A2437A"/>
    <w:rsid w:val="00AA1D8D"/>
    <w:rsid w:val="00B45AB2"/>
    <w:rsid w:val="00B47730"/>
    <w:rsid w:val="00CB0664"/>
    <w:rsid w:val="00CD2F42"/>
    <w:rsid w:val="00CD454A"/>
    <w:rsid w:val="00D23EB6"/>
    <w:rsid w:val="00D44805"/>
    <w:rsid w:val="00D742C4"/>
    <w:rsid w:val="00E65726"/>
    <w:rsid w:val="00E87256"/>
    <w:rsid w:val="00EB4B36"/>
    <w:rsid w:val="00F04C97"/>
    <w:rsid w:val="00F14A7E"/>
    <w:rsid w:val="00F41D52"/>
    <w:rsid w:val="00F44FD5"/>
    <w:rsid w:val="00FC693F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8A8121"/>
  <w14:defaultImageDpi w14:val="330"/>
  <w15:docId w15:val="{D5E95E39-F079-4D9F-B40C-F57B4A11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7A"/>
    <w:pPr>
      <w:widowControl/>
      <w:spacing w:line="360" w:lineRule="auto" w:before="0" w:after="0"/>
      <w:ind w:left="0" w:right="0" w:firstLine="709"/>
      <w:jc w:val="both"/>
    </w:pPr>
    <w:rPr>
      <w:rFonts w:ascii="Times New Roman" w:hAnsi="Times New Roman" w:cs="Times New Roman" w:eastAsia="Times New Roman"/>
      <w:b w:val="0"/>
      <w:i w:val="0"/>
      <w:sz w:val="28"/>
      <w:szCs w:val="28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F42"/>
    <w:pPr>
      <w:keepNext/>
      <w:keepLines/>
      <w:pageBreakBefore/>
      <w:widowControl/>
      <w:numPr>
        <w:numId w:val="10"/>
      </w:numPr>
      <w:spacing w:after="567" w:before="0" w:line="360" w:lineRule="auto"/>
      <w:ind w:left="709" w:right="0" w:firstLine="0"/>
      <w:jc w:val="left"/>
      <w:outlineLvl w:val="0"/>
    </w:pPr>
    <w:rPr>
      <w:rFonts w:ascii="Times New Roman" w:hAnsi="Times New Roman" w:cs="Times New Roman" w:eastAsia="Times New Roman"/>
      <w:b/>
      <w:bCs/>
      <w:i w:val="0"/>
      <w:caps/>
      <w:sz w:val="36"/>
      <w:szCs w:val="36"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008"/>
    <w:pPr>
      <w:keepNext/>
      <w:keepLines/>
      <w:pageBreakBefore w:val="0"/>
      <w:widowControl/>
      <w:numPr>
        <w:ilvl w:val="1"/>
        <w:numId w:val="10"/>
      </w:numPr>
      <w:spacing w:before="850" w:after="567" w:line="360" w:lineRule="auto"/>
      <w:ind w:left="709" w:right="0" w:firstLine="0"/>
      <w:jc w:val="left"/>
      <w:outlineLvl w:val="1"/>
    </w:pPr>
    <w:rPr>
      <w:rFonts w:ascii="Times New Roman" w:hAnsi="Times New Roman" w:cs="Times New Roman" w:eastAsia="Times New Roman"/>
      <w:b/>
      <w:bCs/>
      <w:i w:val="0"/>
      <w:caps w:val="0"/>
      <w:sz w:val="32"/>
      <w:szCs w:val="32"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008"/>
    <w:pPr>
      <w:keepNext/>
      <w:keepLines/>
      <w:pageBreakBefore w:val="0"/>
      <w:widowControl/>
      <w:numPr>
        <w:ilvl w:val="2"/>
        <w:numId w:val="10"/>
      </w:numPr>
      <w:spacing w:before="850" w:after="567" w:line="360" w:lineRule="auto"/>
      <w:ind w:left="709" w:right="0" w:firstLine="0"/>
      <w:jc w:val="left"/>
      <w:outlineLvl w:val="2"/>
    </w:pPr>
    <w:rPr>
      <w:rFonts w:ascii="Times New Roman" w:hAnsi="Times New Roman" w:cs="Times New Roman" w:eastAsia="Times New Roman"/>
      <w:b/>
      <w:bCs/>
      <w:i w:val="0"/>
      <w:caps w:val="0"/>
      <w:sz w:val="28"/>
      <w:szCs w:val="28"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37A"/>
    <w:pPr>
      <w:keepNext/>
      <w:keepLines/>
      <w:numPr>
        <w:ilvl w:val="3"/>
        <w:numId w:val="10"/>
      </w:numPr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37A"/>
    <w:pPr>
      <w:keepNext/>
      <w:keepLines/>
      <w:numPr>
        <w:ilvl w:val="4"/>
        <w:numId w:val="10"/>
      </w:numPr>
      <w:spacing w:before="20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37A"/>
    <w:pPr>
      <w:keepNext/>
      <w:keepLines/>
      <w:numPr>
        <w:ilvl w:val="5"/>
        <w:numId w:val="10"/>
      </w:numPr>
      <w:spacing w:before="200" w:after="0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37A"/>
    <w:pPr>
      <w:keepNext/>
      <w:keepLines/>
      <w:numPr>
        <w:ilvl w:val="6"/>
        <w:numId w:val="10"/>
      </w:numPr>
      <w:spacing w:before="20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37A"/>
    <w:pPr>
      <w:keepNext/>
      <w:keepLines/>
      <w:numPr>
        <w:ilvl w:val="7"/>
        <w:numId w:val="10"/>
      </w:numPr>
      <w:spacing w:before="200" w:after="0"/>
      <w:outlineLvl w:val="7"/>
    </w:pPr>
    <w:rPr>
      <w:rFonts w:eastAsiaTheme="majorEastAsia" w:cstheme="majorBidi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37A"/>
    <w:pPr>
      <w:keepNext/>
      <w:keepLines/>
      <w:numPr>
        <w:ilvl w:val="8"/>
        <w:numId w:val="10"/>
      </w:numPr>
      <w:spacing w:before="200" w:after="0"/>
      <w:outlineLvl w:val="8"/>
    </w:pPr>
    <w:rPr>
      <w:rFonts w:eastAsiaTheme="majorEastAsia" w:cstheme="majorBidi"/>
      <w:b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eAfterTable">
    <w:name w:val="Space After Table"/>
    <w:semiHidden/>
    <w:qFormat/>
    <w:rsid w:val="00FF39FA"/>
    <w:pPr>
      <w:spacing w:after="0" w:line="180" w:lineRule="auto" w:before="340"/>
      <w:ind w:firstLine="709"/>
      <w:jc w:val="both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  <w:ind w:firstLine="0"/>
      <w:jc w:val="center"/>
    </w:pPr>
    <w:rPr>
      <w:rFonts w:ascii="Times New Roman" w:hAnsi="Times New Roman" w:cs="Times New Roman" w:eastAsia="Times New Roman"/>
      <w:b w:val="0"/>
      <w:i w:val="0"/>
      <w:sz w:val="24"/>
      <w:szCs w:val="24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D2F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600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6008"/>
    <w:rPr>
      <w:rFonts w:ascii="Times New Roman" w:eastAsiaTheme="majorEastAsia" w:hAnsi="Times New Roman" w:cstheme="majorBidi"/>
      <w:b/>
      <w:bCs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37A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37A"/>
    <w:rPr>
      <w:rFonts w:ascii="Times New Roman" w:eastAsiaTheme="majorEastAsia" w:hAnsi="Times New Roman" w:cstheme="majorBidi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37A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37A"/>
    <w:rPr>
      <w:rFonts w:ascii="Times New Roman" w:eastAsiaTheme="majorEastAsia" w:hAnsi="Times New Roman" w:cstheme="majorBidi"/>
      <w:b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B42AB"/>
    <w:pPr>
      <w:spacing w:line="240" w:lineRule="auto" w:before="0" w:after="340"/>
      <w:ind w:firstLine="0"/>
      <w:jc w:val="center"/>
    </w:pPr>
    <w:rPr>
      <w:rFonts w:ascii="Times New Roman" w:hAnsi="Times New Roman" w:cs="Times New Roman" w:eastAsia="Times New Roman"/>
      <w:b/>
      <w:bCs/>
      <w:i w:val="0"/>
      <w:sz w:val="24"/>
      <w:szCs w:val="24"/>
      <w:color w:val="00000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B4B36"/>
    <w:pPr>
      <w:numPr>
        <w:numId w:val="0"/>
      </w:numPr>
      <w:jc w:val="center"/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43E9E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Code">
    <w:name w:val="Code"/>
    <w:qFormat/>
    <w:rsid w:val="007B6A03"/>
    <w:pPr>
      <w:spacing w:after="0" w:line="240" w:lineRule="auto" w:before="0"/>
      <w:ind w:left="0" w:firstLine="0"/>
      <w:jc w:val="left"/>
    </w:pPr>
    <w:rPr>
      <w:rFonts w:ascii="Courier New" w:hAnsi="Courier New" w:cs="Courier New" w:eastAsia="Courier New"/>
      <w:b w:val="0"/>
      <w:i w:val="0"/>
      <w:sz w:val="20"/>
      <w:szCs w:val="20"/>
      <w:color w:val="000000"/>
    </w:rPr>
  </w:style>
  <w:style w:type="paragraph" w:customStyle="1" w:styleId="TableCaption">
    <w:name w:val="Table Caption"/>
    <w:basedOn w:val="Caption"/>
    <w:qFormat/>
    <w:rsid w:val="003427F6"/>
    <w:pPr>
      <w:numPr>
        <w:numId w:val="1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2A2700"/>
    <w:pPr>
      <w:tabs>
        <w:tab w:pos="283" w:val="left"/>
        <w:tab w:pos="9638" w:val="right" w:leader="dot"/>
      </w:tabs>
      <w:spacing w:after="100"/>
      <w:ind w:firstLine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A2700"/>
    <w:pPr>
      <w:tabs>
        <w:tab w:pos="709" w:val="left"/>
        <w:tab w:pos="9638" w:val="right" w:leader="dot"/>
      </w:tabs>
      <w:spacing w:after="100"/>
      <w:ind w:left="278" w:firstLine="0"/>
    </w:pPr>
  </w:style>
  <w:style w:type="character" w:styleId="Hyperlink">
    <w:name w:val="Hyperlink"/>
    <w:basedOn w:val="DefaultParagraphFont"/>
    <w:uiPriority w:val="99"/>
    <w:unhideWhenUsed/>
    <w:rsid w:val="000F2B81"/>
    <w:rPr>
      <w:rFonts w:ascii="Times New Roman" w:hAnsi="Times New Roman" w:cs="Times New Roman" w:eastAsia="Times New Roman"/>
      <w:b w:val="0"/>
      <w:i w:val="0"/>
      <w:sz w:val="28"/>
      <w:szCs w:val="28"/>
      <w:color w:val="000000"/>
      <w:u w:val="none"/>
    </w:rPr>
  </w:style>
  <w:style w:type="paragraph" w:customStyle="1" w:styleId="TableText">
    <w:name w:val="Table Text"/>
    <w:basedOn w:val="Normal"/>
    <w:link w:val="TableTextChar"/>
    <w:qFormat/>
    <w:rsid w:val="00B45AB2"/>
    <w:pPr>
      <w:spacing w:after="0" w:line="240" w:lineRule="auto" w:before="0"/>
      <w:ind w:firstLine="0"/>
    </w:pPr>
    <w:rPr>
      <w:rFonts w:ascii="Times New Roman" w:hAnsi="Times New Roman" w:cs="Times New Roman" w:eastAsia="Times New Roman"/>
      <w:b w:val="0"/>
      <w:i w:val="0"/>
      <w:sz w:val="24"/>
      <w:szCs w:val="24"/>
      <w:color w:val="000000"/>
    </w:rPr>
  </w:style>
  <w:style w:type="character" w:customStyle="1" w:styleId="TableTextChar">
    <w:name w:val="Table Text Char"/>
    <w:basedOn w:val="DefaultParagraphFont"/>
    <w:link w:val="TableText"/>
    <w:rsid w:val="00B45AB2"/>
    <w:rPr>
      <w:rFonts w:ascii="Times New Roman" w:hAnsi="Times New Roman"/>
      <w:sz w:val="28"/>
    </w:rPr>
  </w:style>
  <w:style w:type="paragraph" w:customStyle="1" w:styleId="FormulaContent">
    <w:name w:val="Formula Content"/>
    <w:basedOn w:val="TableText"/>
    <w:link w:val="FormulaContentChar"/>
    <w:qFormat/>
    <w:rsid w:val="008832B6"/>
    <w:pPr>
      <w:jc w:val="center"/>
    </w:pPr>
  </w:style>
  <w:style w:type="paragraph" w:customStyle="1" w:styleId="FormulaNumbering">
    <w:name w:val="Formula Numbering"/>
    <w:basedOn w:val="TableText"/>
    <w:link w:val="FormulaNumberingChar"/>
    <w:qFormat/>
    <w:rsid w:val="008832B6"/>
    <w:pPr>
      <w:jc w:val="right"/>
    </w:pPr>
  </w:style>
  <w:style w:type="character" w:customStyle="1" w:styleId="FormulaContentChar">
    <w:name w:val="Formula Content Char"/>
    <w:basedOn w:val="TableTextChar"/>
    <w:link w:val="FormulaContent"/>
    <w:rsid w:val="008832B6"/>
    <w:rPr>
      <w:rFonts w:ascii="Times New Roman" w:hAnsi="Times New Roman"/>
      <w:sz w:val="28"/>
    </w:rPr>
  </w:style>
  <w:style w:type="character" w:customStyle="1" w:styleId="FormulaNumberingChar">
    <w:name w:val="Formula Numbering Char"/>
    <w:basedOn w:val="TableTextChar"/>
    <w:link w:val="FormulaNumbering"/>
    <w:rsid w:val="008832B6"/>
    <w:rPr>
      <w:rFonts w:ascii="Times New Roman" w:hAnsi="Times New Roman"/>
      <w:sz w:val="28"/>
    </w:rPr>
  </w:style>
  <w:style w:type="paragraph" w:customStyle="1" w:styleId="CaptionFigure">
    <w:name w:val="Caption Figure"/>
    <w:basedOn w:val="Caption"/>
    <w:pPr>
      <w:widowControl/>
      <w:spacing w:before="0" w:after="340" w:line="240" w:lineRule="auto"/>
      <w:ind w:left="0" w:firstLine="0"/>
      <w:jc w:val="center"/>
    </w:pPr>
    <w:rPr>
      <w:rFonts w:ascii="Times New Roman" w:hAnsi="Times New Roman" w:cs="Times New Roman" w:eastAsia="Times New Roman"/>
      <w:b/>
      <w:i w:val="0"/>
      <w:sz w:val="24"/>
      <w:szCs w:val="24"/>
      <w:color w:val="000000"/>
    </w:rPr>
  </w:style>
  <w:style w:type="paragraph" w:customStyle="1" w:styleId="CaptionTable">
    <w:name w:val="Caption Table"/>
    <w:basedOn w:val="Caption"/>
    <w:pPr>
      <w:widowControl/>
      <w:spacing w:before="340" w:after="0" w:line="240" w:lineRule="auto"/>
      <w:ind w:left="0" w:firstLine="0"/>
      <w:jc w:val="left"/>
    </w:pPr>
    <w:rPr>
      <w:rFonts w:ascii="Times New Roman" w:hAnsi="Times New Roman" w:cs="Times New Roman" w:eastAsia="Times New Roman"/>
      <w:b w:val="0"/>
      <w:i/>
      <w:sz w:val="24"/>
      <w:szCs w:val="24"/>
      <w:color w:val="000000"/>
    </w:rPr>
  </w:style>
  <w:style w:type="paragraph" w:customStyle="1" w:styleId="CaptionListing">
    <w:name w:val="Caption Listing"/>
    <w:basedOn w:val="Caption"/>
    <w:pPr>
      <w:keepNext/>
      <w:widowControl/>
      <w:spacing w:before="340" w:after="0" w:line="240" w:lineRule="auto"/>
      <w:ind w:left="0" w:firstLine="0"/>
      <w:jc w:val="left"/>
    </w:pPr>
    <w:rPr>
      <w:rFonts w:ascii="Times New Roman" w:hAnsi="Times New Roman" w:cs="Times New Roman" w:eastAsia="Times New Roman"/>
      <w:b w:val="0"/>
      <w:i/>
      <w:sz w:val="24"/>
      <w:szCs w:val="24"/>
      <w:color w:val="000000"/>
    </w:rPr>
  </w:style>
  <w:style w:type="paragraph" w:customStyle="1" w:styleId="Bibliography">
    <w:name w:val="Bibliography"/>
    <w:basedOn w:val="Normal"/>
    <w:pPr>
      <w:spacing w:before="0" w:after="0" w:line="360" w:lineRule="auto"/>
      <w:ind w:firstLine="709"/>
      <w:jc w:val="both"/>
    </w:pPr>
    <w:rPr>
      <w:rFonts w:ascii="Times New Roman" w:hAnsi="Times New Roman" w:cs="Times New Roman" w:eastAsia="Times New Roman"/>
      <w:b w:val="0"/>
      <w:i w:val="0"/>
      <w:sz w:val="28"/>
      <w:szCs w:val="28"/>
      <w:color w:val="000000"/>
    </w:rPr>
  </w:style>
  <w:style w:type="paragraph" w:customStyle="1" w:styleId="BibliographyHeading">
    <w:name w:val="Bibliography Heading"/>
    <w:basedOn w:val="Normal"/>
    <w:pPr>
      <w:keepNext/>
      <w:spacing w:before="340" w:after="340" w:line="360" w:lineRule="auto"/>
      <w:ind w:left="0" w:firstLine="0"/>
      <w:jc w:val="center"/>
    </w:pPr>
    <w:rPr>
      <w:rFonts w:ascii="Times New Roman" w:hAnsi="Times New Roman" w:cs="Times New Roman" w:eastAsia="Times New Roman"/>
      <w:b w:val="0"/>
      <w:i w:val="0"/>
      <w:caps/>
      <w:sz w:val="28"/>
      <w:szCs w:val="28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image" Target="media/image2.jp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hlebushek</dc:creator>
  <cp:keywords/>
  <dc:description>Создано при помощи md2gost (ТЗ МИРЭА)</dc:description>
  <cp:revision>26</cp:revision>
  <dcterms:created xsi:type="dcterms:W3CDTF">2013-12-23T23:15:00Z</dcterms:created>
  <dcterms:modified xsi:type="dcterms:W3CDTF">2023-08-28T11:18:00Z</dcterms:modified>
  <cp:category/>
</cp:coreProperties>
</file>